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shd w:fill="FFFFFF" w:val="clear"/>
          <w:lang w:eastAsia="zh-CN"/>
        </w:rPr>
        <w:t>Статистический анализ проявления девиантного поведения подростков по России и</w:t>
      </w:r>
    </w:p>
    <w:p>
      <w:pPr>
        <w:pStyle w:val="Normal"/>
        <w:widowControl/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shd w:fill="FFFFFF" w:val="clear"/>
          <w:lang w:eastAsia="zh-CN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shd w:fill="FFFFFF" w:val="clear"/>
          <w:lang w:eastAsia="zh-CN"/>
        </w:rPr>
        <w:t>г. Омску</w:t>
      </w:r>
    </w:p>
    <w:p>
      <w:pPr>
        <w:pStyle w:val="Normal"/>
        <w:widowControl/>
        <w:spacing w:lineRule="auto" w:line="360"/>
        <w:ind w:hanging="0"/>
        <w:jc w:val="center"/>
        <w:rPr>
          <w:rFonts w:ascii="Times New Roman" w:hAnsi="Times New Roman" w:cs="Times New Roman"/>
          <w:b/>
          <w:b/>
          <w:bCs/>
          <w:color w:val="00000A"/>
          <w:sz w:val="24"/>
          <w:szCs w:val="24"/>
          <w:shd w:fill="FFFFFF" w:val="clear"/>
          <w:lang w:eastAsia="zh-CN"/>
        </w:rPr>
      </w:pPr>
      <w:r>
        <w:rPr/>
      </w:r>
    </w:p>
    <w:p>
      <w:pPr>
        <w:pStyle w:val="Normal"/>
        <w:widowControl/>
        <w:spacing w:lineRule="auto" w:line="360"/>
        <w:ind w:firstLine="709"/>
        <w:jc w:val="both"/>
        <w:rPr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Независимо от уровня развития общества всегда актуальна проблема преступности несовершеннолетних. Отмечено, что около 50-60% рецидивистов начинали совершать противоправные деяния будучи несовершеннолетними. Преступность несовершеннолетних </w:t>
      </w:r>
      <w:r>
        <w:rPr>
          <w:rFonts w:cs="Verdana" w:ascii="Verdana" w:hAnsi="Verdana"/>
          <w:color w:val="1A1C21"/>
          <w:sz w:val="24"/>
          <w:szCs w:val="24"/>
          <w:shd w:fill="FFFFFF" w:val="clear"/>
          <w:lang w:eastAsia="en-US"/>
        </w:rPr>
        <w:t xml:space="preserve">— </w:t>
      </w:r>
      <w:r>
        <w:rPr>
          <w:rFonts w:cs="Times New Roman" w:ascii="Times New Roman" w:hAnsi="Times New Roman"/>
          <w:color w:val="1A1C21"/>
          <w:sz w:val="24"/>
          <w:szCs w:val="24"/>
          <w:shd w:fill="FFFFFF" w:val="clear"/>
          <w:lang w:eastAsia="en-US"/>
        </w:rPr>
        <w:t xml:space="preserve">это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некий показатель социальной ситуации в стране.</w:t>
      </w:r>
    </w:p>
    <w:p>
      <w:pPr>
        <w:pStyle w:val="Normal"/>
        <w:widowControl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Рост преступ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лений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,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совершенных лицами до 18 лет,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как правило, свидетельствует о неблагоприятных социальных процессах, поскольку молодое поколение является естественным резервом социального развития, а нарушения уголовного закона лицами юного возраста свидетельствуют о существующих недостатках воспитания, условий для включения молодежи в жизнедеятельность общества [7].</w:t>
      </w:r>
    </w:p>
    <w:p>
      <w:pPr>
        <w:pStyle w:val="Normal"/>
        <w:widowControl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По данным портала правовой статистики в 2017 году предварительно расследовано 45288 преступлений, совершенных несовершеннолетними или при их соучастии,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а 2018 году это число составляет 32850 преступлений.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Рис. 1 отражает количество преступлений по стране, совершение которых происходило при участии лиц, не достигших совершеннолетнего возраста 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в прошлом году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[6].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cs="Times New Roman"/>
          <w:color w:val="00000A"/>
          <w:sz w:val="24"/>
          <w:szCs w:val="24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156845</wp:posOffset>
            </wp:positionH>
            <wp:positionV relativeFrom="paragraph">
              <wp:posOffset>110490</wp:posOffset>
            </wp:positionV>
            <wp:extent cx="5934710" cy="332486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8"/>
          <w:szCs w:val="28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cs="Times New Roman"/>
          <w:color w:val="00000A"/>
          <w:sz w:val="22"/>
          <w:szCs w:val="22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2"/>
          <w:szCs w:val="22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2"/>
          <w:szCs w:val="22"/>
          <w:shd w:fill="FFFFFF" w:val="clear"/>
          <w:lang w:eastAsia="zh-CN"/>
        </w:rPr>
        <w:t>Рис. 1. Предварительно расследовано преступлений, совершенных несовершеннолетними или при их соучастии</w:t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 w:cs="Times New Roman"/>
          <w:color w:val="00000A"/>
          <w:sz w:val="22"/>
          <w:szCs w:val="22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2"/>
          <w:szCs w:val="22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По статистическим данным по количеству совершаемых преступлений лидирует Свердловская область </w:t>
      </w:r>
      <w:r>
        <w:rPr>
          <w:rFonts w:cs="Verdana" w:ascii="Times New Roman" w:hAnsi="Times New Roman"/>
          <w:color w:val="1A1C21"/>
          <w:sz w:val="24"/>
          <w:szCs w:val="24"/>
          <w:shd w:fill="FFFFFF" w:val="clear"/>
          <w:lang w:eastAsia="en-US"/>
        </w:rPr>
        <w:t>—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2107 преступлений, на втором месте по рейтингу Челябинская область, там несовершеннолетними совершенно 1823 преступлений за 2017 год. Самый низкий показатель преступности в Республики Ингушетии, в течение года там было совершенно всего 14 преступлений.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В 2018 году также большее количество правонарушений совершенно в Свердловской области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. [6] </w:t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По данным Единой межведомственной информационно-статистической системы за период 2017 года 233941 подросток совершил административное правонарушение: больше всего несовершеннолетних приходится на Центральный федеральный округ – 75936, минимальное количество подростков в Чеченской республике, лишь 47 человек. 42504 несовершеннолетних содеяли преступления уголовного характера. Наименьшее количество несовершеннолетних в Чеченской республике </w:t>
      </w:r>
      <w:bookmarkStart w:id="0" w:name="_Hlk509153229"/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–</w:t>
      </w:r>
      <w:bookmarkEnd w:id="0"/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23 человека. Наивысший показатель в Сибирском федеральном округе – 10229 участников преступлений [2].</w:t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По различным статистическим данным в России наблюдается уменьшение зарегистрированных преступлений, совершенных несовершеннолетними лицами. Как показывает статистика МВД, удельный вес преступлений, совершенных несовершеннолетними гражданами, составляет 4,5%. Около 75,5% правонарушений совершено против собственности. Почти 1/3 преступлений совершается с участием взрослых [4].</w:t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shd w:fill="FFFFFF" w:val="clear"/>
          <w:lang w:eastAsia="zh-CN"/>
        </w:rPr>
        <w:t>Подростки могут совершать такие деяния в силу разных обстоятельств: социальная ситуация в семье, направленность референтной группы, неблагоприятное стечение обстоятельств. Не смотря на спад подростковой преступности, социальному педагогу образовательного учреждения необходимо отслеживать и выявлять обучающихся, которые наиболее склонны к совершению противоправных действий, с целью их превентивного сопровождения.</w:t>
      </w:r>
    </w:p>
    <w:p>
      <w:pPr>
        <w:pStyle w:val="Normal"/>
        <w:widowControl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  <w:t xml:space="preserve">Рассматривая проявления девиации подростков по России целесообразно подробнее остановиться на г. Омск. </w:t>
      </w: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  <w:t xml:space="preserve">Омск в рейтинге правонарушений среди несовершеннолетних занимает 33-е место. </w:t>
      </w: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  <w:t xml:space="preserve">По данным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Единой межведомственной информационно-статистической системы за период 2017 в нашем городе 522 подростка совершили уголовные преступления, 2448 – административные,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на октябрь 2018 года зарегистрировано 376 несовершеннолетних правонарушителей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[2]. Заместитель начальника управления по организации подразделений ПДН областного УМВД отмечает что, за 4 месяца с начала 2017 года подростки совершили 106 преступлений. Наибольшее количество (61 преступление) из них </w:t>
      </w:r>
      <w:r>
        <w:rPr>
          <w:rFonts w:cs="Verdana" w:ascii="Times New Roman" w:hAnsi="Times New Roman"/>
          <w:color w:val="1A1C21"/>
          <w:sz w:val="24"/>
          <w:szCs w:val="24"/>
          <w:shd w:fill="FFFFFF" w:val="clear"/>
          <w:lang w:eastAsia="en-US"/>
        </w:rPr>
        <w:t>—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кражи. Кроме того, омские подростки совершают грабежи, разбои, угон транспортных средств. В своем отчете начальник УМВД России по Омской области указывает, что настоящее время осуществляется профилактическая работа с 2949 трудными подростками [5].</w:t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Информационно-аналитическая записка о мерах, принимаемых УМВД России по Омской области по охране общественного порядка и общественной безопасности, защите прав и законных интересов граждан от преступных посягательство и по обеспечению общественного доверия и поддержки граждан на территории Омской области в 2017 году гласит, что целенаправленная работа органов исполнительной власти, местного самоуправления и органов правопорядка по профилактике правонарушений, совершаемых несовершеннолетними, способствовала снижению подростковой преступности на 24,7% по сравнению с прошлыми годами.  По состоянию на 01.01.2018 на профилактическом учете органов внутренних дел состоит 43 судимых подростка, осужденных к мерам наказания, не связанным с лишением свободы, 3 </w:t>
      </w:r>
      <w:r>
        <w:rPr>
          <w:rFonts w:cs="Verdana" w:ascii="Times New Roman" w:hAnsi="Times New Roman"/>
          <w:color w:val="1A1C21"/>
          <w:sz w:val="24"/>
          <w:szCs w:val="24"/>
          <w:shd w:fill="FFFFFF" w:val="clear"/>
          <w:lang w:eastAsia="en-US"/>
        </w:rPr>
        <w:t>—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 вернувшихся из учреждений уголовно-исполнительной системы.</w:t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В период 2017 года проведено 49 рабочих встреч с представителями органов управления образованием по выработке и реализации совместных профилактических мер по противодействию криминализации подростковой среды, обмену информацией о фактах вовлечения учащихся в неформальные молодежные объединения противоправной, в том числе националистической и экстремистской направленности [3].</w:t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  <w:t>Основными негативными факторами, по мнению специалистов комиссии по делам несовершеннолетних и защите их прав, формирующими социально опасное поведение, они назвали плохие условия проживания несовершеннолетних, а также низкий уровень культуры или ассоциальное поведение их родителей. Однако, преступления совершают и дети из благополучных семей. Причинами этого, по словам экспертов, становится отсутствие должного контроля и низкий уровень мотивации ребенка к учебе и другим полезным занятиям [1].</w:t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Таким образом, данные показатели свидетельствуют об эффективности работы органов исполнительной власти по вопросам противоправного поведения среди подростков. Снижение уровня преступлений, совершенных несовершеннолетними, является результатом системной профилактической деятельности с подростками и их семьями, в которой задействованы все структуры системы профилактики. </w:t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cs="Times New Roman"/>
          <w:color w:val="00000A"/>
          <w:sz w:val="24"/>
          <w:szCs w:val="24"/>
          <w:shd w:fill="FFFFFF" w:val="clear"/>
          <w:lang w:eastAsia="zh-CN"/>
        </w:rPr>
      </w:pPr>
      <w:r>
        <w:rPr>
          <w:rFonts w:cs="Times New Roman"/>
          <w:color w:val="00000A"/>
          <w:sz w:val="24"/>
          <w:szCs w:val="24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ind w:left="0" w:righ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Список используемой литературы: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1. Доклад начальника УМВД России по городу Омску подполковника полиции А.В. Меркушова на заседании Омского городского Совета 21.03.2018 по вопросу «О результатах деятельности УМВД России по городу Омску за 2017 год». [Электронный ресурс]/ А.В. Меркушов –  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://55.мвд.рф/. –(дата обращения 14.04.2018).</w:t>
      </w:r>
    </w:p>
    <w:p>
      <w:pPr>
        <w:pStyle w:val="Normal"/>
        <w:widowControl/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2. ЕМИСС. Государственная статистика [Электронный ресурс]. –Код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fedstat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ru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/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indicator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/36208. – (дата обращения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10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10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.2018).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3. Информационно-аналитическая записка о мерах, принимаемых УМВД России по Омской области по охране общественного порядка и общественной безопасности, защите прав и законных интересов граждан от преступных посягательств и по обеспечению общественного доверия и поддержки граждан на территории Омской области в 2017 году [Электронный ресурс]. –  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://55.мвд.рф/. –(дата обращения: 17.04.2018).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4. Министерство внутренних дел Российской Федерации [Электронный ресурс]. – 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://мвд.рф/. – (дата обращения: 16.05.2018).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5. Отчет начальника УМВД России по Омской области за 2017 год [Электронный ресурс]. – 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://55.мвд.рф/. – (дата обращения : 14.04.2018).</w:t>
      </w:r>
    </w:p>
    <w:p>
      <w:pPr>
        <w:pStyle w:val="Normal"/>
        <w:widowControl/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6. Портал правовой статистики [Электронный ресурс]. – Код доступа: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http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://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crimestat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ru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/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offenses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_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val="en-GB" w:eastAsia="zh-CN"/>
        </w:rPr>
        <w:t>map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 xml:space="preserve">. – (дата обращения : 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10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10</w:t>
      </w: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.2018).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  <w:t>7. Юзиханова Э.Г. Статистические показатели и тенденции преступности несовершеннолетних в новейшей России / Э.Г. Юзиханова // Журнал Юридическая наука и правоохранительная практика. –2014. – № 4 (30). – С. 85.</w:t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 w:cs="Times New Roman"/>
          <w:color w:val="00000A"/>
          <w:sz w:val="24"/>
          <w:szCs w:val="24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 w:cs="Times New Roman"/>
          <w:color w:val="00000A"/>
          <w:sz w:val="24"/>
          <w:szCs w:val="24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ind w:left="360" w:hanging="0"/>
        <w:jc w:val="both"/>
        <w:rPr>
          <w:rFonts w:ascii="Times New Roman" w:hAnsi="Times New Roman" w:cs="Times New Roman"/>
          <w:color w:val="00000A"/>
          <w:sz w:val="24"/>
          <w:szCs w:val="24"/>
          <w:shd w:fill="FFFFFF" w:val="clear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shd w:fill="FFFFFF" w:val="clear"/>
          <w:lang w:eastAsia="zh-CN"/>
        </w:rPr>
      </w:r>
    </w:p>
    <w:p>
      <w:pPr>
        <w:pStyle w:val="Normal"/>
        <w:widowControl/>
        <w:spacing w:lineRule="auto" w:line="360"/>
        <w:ind w:left="36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8386</TotalTime>
  <Application>LibreOffice/4.4.1.2$Windows_x86 LibreOffice_project/45e2de17089c24a1fa810c8f975a7171ba4cd432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2018-11-20T14:20:03Z</dcterms:created>
  <dc:language>ru-RU</dc:language>
  <dcterms:modified xsi:type="dcterms:W3CDTF">2018-12-13T20:56:10Z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