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384.3307086614186" w:firstLine="0"/>
        <w:jc w:val="center"/>
        <w:rPr>
          <w:color w:val="383838"/>
          <w:sz w:val="32"/>
          <w:szCs w:val="32"/>
        </w:rPr>
      </w:pPr>
      <w:r w:rsidDel="00000000" w:rsidR="00000000" w:rsidRPr="00000000">
        <w:rPr>
          <w:color w:val="383838"/>
          <w:sz w:val="32"/>
          <w:szCs w:val="32"/>
          <w:rtl w:val="0"/>
        </w:rPr>
        <w:t xml:space="preserve">ФОРМИРОВАНИЕ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И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РАЗВИТИЕ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СЕНСОРНО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-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ПЕРЦЕПТИВНОЙ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СФЕРЫ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В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ВОСПИТАНИИ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ДЕТЕЙ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С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ОВЗ</w:t>
      </w:r>
      <w:r w:rsidDel="00000000" w:rsidR="00000000" w:rsidRPr="00000000">
        <w:rPr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32"/>
          <w:szCs w:val="32"/>
          <w:rtl w:val="0"/>
        </w:rPr>
        <w:t xml:space="preserve">ЛУО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Василий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Сухомлинский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упоминал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трудах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находится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кончиках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пальцев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задача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дошкольного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образования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условиях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направлена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укрепление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восстановление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охраны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физического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психического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здоровья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склонности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возможности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успешной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самореализации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среде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сверстников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образовательном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Особое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значение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данной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категории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нём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базируется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интеллектуальное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Один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разделов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коррекционно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педагогической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работы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детьми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ограниченными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возможностями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здоровья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психомоторики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тесно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связано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речевым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психическим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личностным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речи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тесным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образом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связано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зрительного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слухового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анализаторов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определяется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расположением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созреванием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двигательного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анализатора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моторной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речевой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зоне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головном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мозге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является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частью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двигательной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области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весь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организм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детская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рученка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находится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стадии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интенсивного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Очень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частью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способностей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является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«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мелкой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моторики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пальцев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кистей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Каждое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своеобразное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движение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ещё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один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стимулятор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складочки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коре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больших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полушарий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Упражнения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улучшения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подвижности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пальчиков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кистей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силы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гибкости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Использование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физкультминуток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оптимальный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вариант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двигательной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мелкой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моторики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координация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движения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формирование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навыка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ориентировки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пространстве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переключиться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другой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предлагается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детям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физкультминутка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снятие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нагрузки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повышения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работоспособности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Манипулятивная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появляются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новообразования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ходьба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речь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позволяет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приобрести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самостоятельность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взрослого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обследовать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мир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предметов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Взрослый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начинает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действие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заканчивают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Разнообразная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предметно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пространственная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сочетании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самообслуживания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способствуют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мелкой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моторики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пальчиков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кистей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Сенсомоторное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созревание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двигательного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анализатора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происходит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труда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природе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повседневной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жизни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прогулке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быту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практических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действий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предметами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наблюдений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возможность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каждому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почувствовать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пальчики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ладошки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Владения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навыками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самообслуживания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невозможно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скоординировать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ручной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умелости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должны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отсутствовать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затруднения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застегивании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пуговиц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завязывании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узелков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платке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шнуровка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обуви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значение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посильное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участие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совместно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присмотром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взрослых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домашней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обстановке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сервировка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уборка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уборка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игрушек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определённое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опрыскивание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цветов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пульверизатора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растений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Повседневные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нагрузки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ценность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являются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хорошей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систематической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тренировкой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ловкости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основе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собственного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опыта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позволяет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анализировать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действительность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самостоятельно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видеть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знакомое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незнакомом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накапливать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новый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двигательный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опыт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Формирование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манипулятивной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зрительной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слуховой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сферы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воспитании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ОВЗ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игровая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тестом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игровой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тесно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взаимосвязан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перцептивной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сферы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совершать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элементарные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трудовые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операции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умел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различать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предметы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форме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величине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цвету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свойствами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различных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предметов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веществ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воды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песка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бумаги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глины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ткани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...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Изобразительная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точно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творческий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труд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значение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социальной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адаптации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воспитании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способствует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тактильно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двигательного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восприятия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зрительного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восприятия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развитию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умения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наблюдать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делать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выводы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запоминать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воспитывать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любознательность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инициативу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интерес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изобразительной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волевые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качества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раскрывают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эстетическое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восприятие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умения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видеть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красоту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движений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цвета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пропорций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);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способствует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воспитанию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интереса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ярким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явлениям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природы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познавать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окружающий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мир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Продуктивная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творческий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труд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здесь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выступает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роли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создателя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нового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красивого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полезного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руководством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воспитателя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могут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изготовлять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мягкие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игрушки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витражи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композиции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природных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расписывать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тарелки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Интерес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представляет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куклотерапия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применением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марионеток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Марионетки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куклы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оживают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руках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Одна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форм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естественной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игры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песочнице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Использовать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песочницу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целесообразно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обучающих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развивающих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занятиях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образом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перцептивные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помощью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ребенок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воспринимает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внутренний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опыт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внутренние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ощущения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окружающую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действительность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Сенсорно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перцептивные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процессы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служат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связи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внутреннего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мира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окружающей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действительностью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