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В Российской Федерации детский дорожно-транспортный травматизм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характеризуется высокой смертностью и тяжёлыми последствиями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По данным исследований, проводившихся в последние три года, почти 80% детей, попавших в ДТП, получили серьёзные черепно-мозговые травмы, Четверть пострадавших - переломы конечностей, ключицы, бедра и др. Практически каждый десятый ребенок - множественные у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шибы, 4% -травмы живота. Травмы, полученные детьми пассажирами - 75% -  ушибы лица,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головы, ног, 15% травм приводят к смертельному исходу.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Ранения, полученные в дорожно-транспортных происшествиях, чрезвычайно опасны: особенно черепно-мозговые травмы, в сочетании с тяжелыми повреждениями органов грудной и брюшной полости, переломами конечностей. Как правило, такая травма получается "двойной";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сначала автомобиль, сбивая ребенка опрокидывает его на капот, а затем его тело падает на проезжую часть. В результате происходят два удара. Причем больше опасен второй удар, при падении дети ударяют чаще всего голову (соотношение веса головы к общей массе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тела у ребенка больше, чем у взрослого). Тяжелыми бывают травмы и при ударе об острые углы и грани, а также жесткие конструкции автомобиля. Последствия автотравм оставляют на всю жизнь физические увечья и морально-психологические потрясения, и не всегда пр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оявляются сразу. В среднем каждый травмированный ребенок проводит на больничной койке около двух месяцев, а срок реабилитации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составляет 8-10 лет. Некоторые остаются инвалидами на всю жизнь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Можно провести параллель между ростом ДТП с участием детей и неэффективным преподаванием основ безопасного поведения на дорогах в школах. Неэффективность обучения детей безопасному поведению на дорогах определяется тем, что данное обучение сводится к прост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ой передаче информации о правилах дорожного движения. Эффективным такое обучение станет тогда, когда оно будет направлено на формирование практических умений безопасного поведения на дороге с учетом причин попадания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школьников в ДТП и их возрастных и психологических особенностей.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Учет причин ДТП с участием детей и их психологических и возрастных особенностей является основным условием эффективности обучения детей, т.к. знания о правилах дорожного движения сами по себе ничего не дают. Для того чтобы эти знания определяли поведение р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ебенка на дороге, они должны стать его убеждениями, т.е. эмоционально окрашенными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суждениями, мотивирующими соответствующие практические действия.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Ребенок тогда будет безукоснительно выполнять правила дорожного движения, когда он будет осознавать необходимость в их выполнении и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получать удовольствие от точного соблюдения.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Положительного результата в профилактике ДТП с участием детей можно достичь в том случае, если обучение будет направлено, прежде всего,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на формирование у учащихся практических умений безопасному поведению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на дороге, с максимальным учетом их психологических и возрастных особенностей на основе анализа ситуаций, чаще всего приводящих к детскому травматизму. 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Эффективность формирования культуры безопасного поведения детей и подростков на дороге, во многом опреде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ляется тем, в какой степени обучение безопасности дорожного движения соответствует их психологии. Учет психологических, возрастных особенностей школьников в формировании культуры безопасности дорожного движения осуществляется через определенный, психологический — механизм, построенный на основе теории деятельно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сти А.Н. Леонтьева теории поэтапного формирования умственных действий П.Я. Гальперина, теории развивающего обучения В.В. Давыдова, в целях активизации базовой потребности в безопасности.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1. Фиксирование внимания на дороге и вблизи ее, как на предельно важной, необычной ситуации, которая, в силу высокого фактора опасности, требует особого отношения, даже если ребенок сталкивается с ней несколько раз в день. Через средства обучения до ребенк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а следует донести мысль о необходимости включения в сознании специального сигнала: "Внимание, дорога!", т.е. находясь рядом с дорогой ему нужно прервать разговор, переключить свои мысли на дорогу и быть максимально собранным.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2. "Сканирование" ситуации на дороге с целью ее объективной, всесторонней оценки по определенным параметрам: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типичная, или не типичная ситуация;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выделение основных объектов, определяющих безопасность на дороге: наличие светофора, его исправность;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при отсутствии светофора мощность потока машин;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наличие объектов, мешающих правильно оценить ситуацию;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вероятность появления неожиданного фактора: машины “скорой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помощи", машины из-за плохо просматриваемого поворота,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плохие погодные условия,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- темное время суток, и т.д.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Результатом данного этапа должно стать определение основных и второстепенных объектов на дороге, определяющих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ее безопасность в данный момент с учетом развития на все пребывание ребенка в ней.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3. Включение процессов долгосрочной памяти для того, чтобы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вспомнить правило в соответствии со складывающейся ситуацией.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4. Реализация этого правила через соответствующие практические действия, по строгому алгоритму через механизм внутреннего планирования и самоконтроля своих действий. На этом этапе ребенок должен четко осознавать не только что он делает и зачем, но и брать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на себя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ответственность за все свои действия.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5. Выход из ситуации, переключение внимания на другие объекты,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"отключение сигнала: "Внимание, дорога!"".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b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222222"/>
          <w:sz w:val="24"/>
          <w:highlight w:val="white"/>
        </w:rPr>
        <w:t xml:space="preserve">Специфика применения психологического механизма - механизм</w:t>
      </w:r>
      <w:r>
        <w:rPr>
          <w:rFonts w:ascii="Times New Roman" w:hAnsi="Times New Roman" w:cs="Times New Roman" w:eastAsia="Times New Roman"/>
          <w:b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222222"/>
          <w:sz w:val="24"/>
          <w:highlight w:val="white"/>
        </w:rPr>
        <w:t xml:space="preserve">формирования безопасного поведения детей на дорогах</w:t>
      </w:r>
      <w:r>
        <w:rPr>
          <w:rFonts w:ascii="Times New Roman" w:hAnsi="Times New Roman" w:cs="Times New Roman" w:eastAsia="Times New Roman"/>
          <w:b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color w:val="222222"/>
          <w:sz w:val="24"/>
          <w:highlight w:val="white"/>
        </w:rPr>
        <w:t xml:space="preserve">в младшем школьном и подростковом возрасте.</w:t>
      </w:r>
      <w:r>
        <w:rPr>
          <w:rFonts w:ascii="Times New Roman" w:hAnsi="Times New Roman" w:cs="Times New Roman" w:eastAsia="Times New Roman"/>
          <w:b/>
          <w:sz w:val="24"/>
        </w:rPr>
      </w:r>
    </w:p>
    <w:p>
      <w:pPr>
        <w:ind w:left="0" w:right="0" w:hanging="0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Применение представленного механизма в младшем школьном возрасте и подростковом будет отличаться. В младшем школьном возрасте только закладывается этот механизм, поэтому важно закрепить последовательность всех этапов, особое внимание обратить на выделение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ситуации на дороге, как особой, на включение памяти для актуализации того,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или иного правила, его точном выполнении, и выходе из ситуации. Оценка ситуации должна проводиться в общих чертах, по основным, жизненно важным параметрам. В результате у младшего школьника должна быть сформирована убежденность в неукоснительном выполнении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 правил дорожного движения, подкрепленная соответствующими практическими умениями, через активизацию потребности в безопасности, поскольку у младших школьников слабо развито чувство опасности, то при формировании данного механизма особый акцент следует дел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ать на эмоциональную сферу ребенка. С одной стороны, для формирования "чувства опасности" на дороге, и вблизи ее, нужно дозировано вызвать у ребенка здоровое чувство страха, для активизации потребности в безопасности, с другой стороны, в большей степени, н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ужно формировать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чувство успешности, удовлетворения от своих правильных действий на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дороге.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  <w:highlight w:val="whit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В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подростковом возрасте этап фиксации внимания из-за возросших возможностей подростка, более богатого личного опыта по сравнению с младшим школьником, требует значительно меньше времени, в случае неправильно сформированной модели поведения на дороге. В си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туации, когда у подростков выработан механизм безопасного поведения на дороге, следует через наглядные средства напомнить о возможных способах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фиксации внимания и негативных последствиях в случае их игнорирования.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color w:val="222222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Этап оценки ситуации в подростковом возрасте требует более детального рассмотрения по сравнению с другими этапами. Подростку необходимо предложить как можно больше вариантов развития ситуации на дороге для подробного анализа с позиций всех участников данно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й ситуации. В целях гармоничного развития подростка, в частности, его формирующегося чувства взрослости и самооценки, необходимо предоставить подростку возможность взглянуть на 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складывающуюся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ситуацию глазами всех ее участников: каждого пешехода, водителя и т.д.</w:t>
      </w:r>
      <w:r>
        <w:rPr>
          <w:rFonts w:ascii="Times New Roman" w:hAnsi="Times New Roman" w:cs="Times New Roman" w:eastAsia="Times New Roman"/>
          <w:color w:val="222222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Важно, чтобы наглядные средства предоставляли подростку самому прогнозировать развитие событий, принимать решение. Именно на этом этапе у подростка формируется умение осознавать свой выбор и брать за него ответственность. Данные ситуации должны быть, с одн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ой стороны жизненными, а с другой носить проблемный характер. Остальные этапы представленного механизма в подростковом возрасте осуществляются на уровне автоматизма. В результате у подростка должно быть сформулировано четкое представление о том, что у него</w:t>
      </w:r>
      <w:r>
        <w:rPr>
          <w:rFonts w:ascii="Times New Roman" w:hAnsi="Times New Roman" w:cs="Times New Roman" w:eastAsia="Times New Roman"/>
          <w:color w:val="222222"/>
          <w:sz w:val="24"/>
          <w:highlight w:val="white"/>
        </w:rPr>
        <w:t xml:space="preserve"> есть выбор не в соблюдении, или не соблюдении правил дорожного движения, а выбор между тем, чтобы управлять обстоятельствами, или подчиняться им, т.е. быть хозяином своей жизни, или нет.</w:t>
      </w:r>
      <w:r>
        <w:rPr>
          <w:rFonts w:ascii="Times New Roman" w:hAnsi="Times New Roman" w:cs="Times New Roman" w:eastAsia="Times New Roman"/>
          <w:color w:val="222222"/>
          <w:sz w:val="24"/>
        </w:rPr>
      </w:r>
      <w:r>
        <w:rPr>
          <w:rFonts w:ascii="Times New Roman" w:hAnsi="Times New Roman" w:cs="Times New Roman" w:eastAsia="Times New Roman"/>
          <w:color w:val="222222"/>
          <w:sz w:val="24"/>
        </w:rPr>
      </w:r>
    </w:p>
    <w:p>
      <w:pPr>
        <w:ind w:left="0" w:right="0" w:firstLine="425"/>
        <w:spacing w:after="0" w:before="0"/>
        <w:shd w:val="clear" w:color="auto" w:fill="FFFFFF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222222"/>
          <w:sz w:val="24"/>
        </w:rPr>
        <w:t xml:space="preserve">Исходя из всего вышеперечисленного, можно сделать вывод что эффективность формирования культуры безопасного поведения детей и подростков на дороге зависит не только от их психологических особенностей, но и от механизма формирования такой культуры поведения.</w:t>
      </w:r>
      <w:r>
        <w:rPr>
          <w:rFonts w:ascii="Times New Roman" w:hAnsi="Times New Roman" w:cs="Times New Roman" w:eastAsia="Times New Roman"/>
          <w:color w:val="222222"/>
          <w:sz w:val="24"/>
        </w:rPr>
      </w:r>
    </w:p>
    <w:sectPr>
      <w:footnotePr/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ONLYOFFICE/2.4.562.0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