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22" w:rsidRDefault="00D97622" w:rsidP="00D97622">
      <w:pPr>
        <w:spacing w:after="0" w:line="240" w:lineRule="auto"/>
        <w:ind w:firstLine="709"/>
        <w:jc w:val="right"/>
        <w:rPr>
          <w:rFonts w:ascii="Times New Roman" w:hAnsi="Times New Roman" w:cs="Times New Roman"/>
          <w:sz w:val="28"/>
          <w:szCs w:val="28"/>
        </w:rPr>
      </w:pPr>
      <w:r w:rsidRPr="00D97622">
        <w:rPr>
          <w:rFonts w:ascii="Times New Roman" w:hAnsi="Times New Roman" w:cs="Times New Roman"/>
          <w:sz w:val="28"/>
          <w:szCs w:val="28"/>
        </w:rPr>
        <w:t>Игра – это огромное светлое окно, через</w:t>
      </w:r>
      <w:r w:rsidRPr="00D97622">
        <w:rPr>
          <w:rFonts w:ascii="Times New Roman" w:hAnsi="Times New Roman" w:cs="Times New Roman"/>
          <w:sz w:val="28"/>
          <w:szCs w:val="28"/>
        </w:rPr>
        <w:br/>
        <w:t>которое в духовный мир ребенка</w:t>
      </w:r>
      <w:r w:rsidRPr="00D97622">
        <w:rPr>
          <w:rFonts w:ascii="Times New Roman" w:hAnsi="Times New Roman" w:cs="Times New Roman"/>
          <w:sz w:val="28"/>
          <w:szCs w:val="28"/>
        </w:rPr>
        <w:br/>
        <w:t>вливается живительный поток представлений,</w:t>
      </w:r>
      <w:r w:rsidRPr="00D97622">
        <w:rPr>
          <w:rFonts w:ascii="Times New Roman" w:hAnsi="Times New Roman" w:cs="Times New Roman"/>
          <w:sz w:val="28"/>
          <w:szCs w:val="28"/>
        </w:rPr>
        <w:br/>
        <w:t>понятий. Игра – это искра, зажигающая</w:t>
      </w:r>
      <w:r w:rsidRPr="00D97622">
        <w:rPr>
          <w:rFonts w:ascii="Times New Roman" w:hAnsi="Times New Roman" w:cs="Times New Roman"/>
          <w:sz w:val="28"/>
          <w:szCs w:val="28"/>
        </w:rPr>
        <w:br/>
        <w:t>огонек пытливости и любознательности.</w:t>
      </w:r>
      <w:r w:rsidRPr="00D97622">
        <w:rPr>
          <w:rFonts w:ascii="Times New Roman" w:hAnsi="Times New Roman" w:cs="Times New Roman"/>
          <w:sz w:val="28"/>
          <w:szCs w:val="28"/>
        </w:rPr>
        <w:br/>
        <w:t>В.А. Сухомлинский</w:t>
      </w:r>
    </w:p>
    <w:p w:rsidR="00D97622" w:rsidRPr="00D97622" w:rsidRDefault="00D97622" w:rsidP="00D97622">
      <w:pPr>
        <w:spacing w:after="0" w:line="240" w:lineRule="auto"/>
        <w:ind w:firstLine="709"/>
        <w:jc w:val="right"/>
        <w:rPr>
          <w:rFonts w:ascii="Times New Roman" w:hAnsi="Times New Roman" w:cs="Times New Roman"/>
          <w:sz w:val="28"/>
          <w:szCs w:val="28"/>
        </w:rPr>
      </w:pPr>
      <w:bookmarkStart w:id="0" w:name="_GoBack"/>
      <w:bookmarkEnd w:id="0"/>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b/>
          <w:bCs/>
          <w:sz w:val="28"/>
          <w:szCs w:val="28"/>
        </w:rPr>
        <w:t>Игра</w:t>
      </w:r>
      <w:r w:rsidRPr="00D97622">
        <w:rPr>
          <w:rFonts w:ascii="Times New Roman" w:hAnsi="Times New Roman" w:cs="Times New Roman"/>
          <w:sz w:val="28"/>
          <w:szCs w:val="28"/>
        </w:rPr>
        <w:t>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обыденное становится необычным. А. М. Горький писал: «Игра – путь к познанию мира, в котором они живут и который призваны изменить». ((Горький А. М. О молодёжи. – М.: 1949г стр. 244)</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 xml:space="preserve">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w:t>
      </w:r>
      <w:proofErr w:type="gramStart"/>
      <w:r w:rsidRPr="00D97622">
        <w:rPr>
          <w:rFonts w:ascii="Times New Roman" w:hAnsi="Times New Roman" w:cs="Times New Roman"/>
          <w:sz w:val="28"/>
          <w:szCs w:val="28"/>
        </w:rPr>
        <w:t>так же</w:t>
      </w:r>
      <w:proofErr w:type="gramEnd"/>
      <w:r w:rsidRPr="00D97622">
        <w:rPr>
          <w:rFonts w:ascii="Times New Roman" w:hAnsi="Times New Roman" w:cs="Times New Roman"/>
          <w:sz w:val="28"/>
          <w:szCs w:val="28"/>
        </w:rPr>
        <w:t xml:space="preserve"> творческие игры: сюжетно – ролевые, режиссёрские.</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b/>
          <w:bCs/>
          <w:sz w:val="28"/>
          <w:szCs w:val="28"/>
        </w:rPr>
        <w:t>Творческие игры</w:t>
      </w:r>
      <w:r w:rsidRPr="00D97622">
        <w:rPr>
          <w:rFonts w:ascii="Times New Roman" w:hAnsi="Times New Roman" w:cs="Times New Roman"/>
          <w:sz w:val="28"/>
          <w:szCs w:val="28"/>
        </w:rPr>
        <w:t> различаются </w:t>
      </w:r>
      <w:r w:rsidRPr="00D97622">
        <w:rPr>
          <w:rFonts w:ascii="Times New Roman" w:hAnsi="Times New Roman" w:cs="Times New Roman"/>
          <w:i/>
          <w:iCs/>
          <w:sz w:val="28"/>
          <w:szCs w:val="28"/>
        </w:rPr>
        <w:t>по содержанию</w:t>
      </w:r>
      <w:r w:rsidRPr="00D97622">
        <w:rPr>
          <w:rFonts w:ascii="Times New Roman" w:hAnsi="Times New Roman" w:cs="Times New Roman"/>
          <w:sz w:val="28"/>
          <w:szCs w:val="28"/>
        </w:rPr>
        <w:t> (отражение быта, труда взрослых, событий общественной жизни); </w:t>
      </w:r>
      <w:r w:rsidRPr="00D97622">
        <w:rPr>
          <w:rFonts w:ascii="Times New Roman" w:hAnsi="Times New Roman" w:cs="Times New Roman"/>
          <w:i/>
          <w:iCs/>
          <w:sz w:val="28"/>
          <w:szCs w:val="28"/>
        </w:rPr>
        <w:t>по организации</w:t>
      </w:r>
      <w:r w:rsidRPr="00D97622">
        <w:rPr>
          <w:rFonts w:ascii="Times New Roman" w:hAnsi="Times New Roman" w:cs="Times New Roman"/>
          <w:sz w:val="28"/>
          <w:szCs w:val="28"/>
        </w:rPr>
        <w:t>, количеству участников (индивидуальные, групповые, коллективные);</w:t>
      </w:r>
      <w:r w:rsidRPr="00D97622">
        <w:rPr>
          <w:rFonts w:ascii="Times New Roman" w:hAnsi="Times New Roman" w:cs="Times New Roman"/>
          <w:i/>
          <w:iCs/>
          <w:sz w:val="28"/>
          <w:szCs w:val="28"/>
        </w:rPr>
        <w:t> по виду</w:t>
      </w:r>
      <w:r w:rsidRPr="00D97622">
        <w:rPr>
          <w:rFonts w:ascii="Times New Roman" w:hAnsi="Times New Roman" w:cs="Times New Roman"/>
          <w:sz w:val="28"/>
          <w:szCs w:val="28"/>
        </w:rPr>
        <w:t> (игры, сюжет которых придумывают сами дети, игры – драматизации – разыгрывание сказок и рассказов, строительные).</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Творческая игра служит</w:t>
      </w:r>
      <w:r w:rsidRPr="00D97622">
        <w:rPr>
          <w:rFonts w:ascii="Times New Roman" w:hAnsi="Times New Roman" w:cs="Times New Roman"/>
          <w:i/>
          <w:iCs/>
          <w:sz w:val="28"/>
          <w:szCs w:val="28"/>
        </w:rPr>
        <w:t> поводом для расширения кругозора</w:t>
      </w:r>
      <w:r w:rsidRPr="00D97622">
        <w:rPr>
          <w:rFonts w:ascii="Times New Roman" w:hAnsi="Times New Roman" w:cs="Times New Roman"/>
          <w:sz w:val="28"/>
          <w:szCs w:val="28"/>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образом, осмысливает их; </w:t>
      </w:r>
      <w:proofErr w:type="gramStart"/>
      <w:r w:rsidRPr="00D97622">
        <w:rPr>
          <w:rFonts w:ascii="Times New Roman" w:hAnsi="Times New Roman" w:cs="Times New Roman"/>
          <w:sz w:val="28"/>
          <w:szCs w:val="28"/>
        </w:rPr>
        <w:t>словом</w:t>
      </w:r>
      <w:proofErr w:type="gramEnd"/>
      <w:r w:rsidRPr="00D97622">
        <w:rPr>
          <w:rFonts w:ascii="Times New Roman" w:hAnsi="Times New Roman" w:cs="Times New Roman"/>
          <w:sz w:val="28"/>
          <w:szCs w:val="28"/>
        </w:rPr>
        <w:t xml:space="preserve"> он пользуется и чтобы дополнить действия, выразить свои мысли и чувства.</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lastRenderedPageBreak/>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 xml:space="preserve">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w:t>
      </w:r>
      <w:proofErr w:type="gramStart"/>
      <w:r w:rsidRPr="00D97622">
        <w:rPr>
          <w:rFonts w:ascii="Times New Roman" w:hAnsi="Times New Roman" w:cs="Times New Roman"/>
          <w:sz w:val="28"/>
          <w:szCs w:val="28"/>
        </w:rPr>
        <w:t>так же</w:t>
      </w:r>
      <w:proofErr w:type="gramEnd"/>
      <w:r w:rsidRPr="00D97622">
        <w:rPr>
          <w:rFonts w:ascii="Times New Roman" w:hAnsi="Times New Roman" w:cs="Times New Roman"/>
          <w:sz w:val="28"/>
          <w:szCs w:val="28"/>
        </w:rPr>
        <w:t xml:space="preserve"> и как средство воспитания, различных сторон личности ребёнка.</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Во время игры – занятия идёт прямое обучение детей с использованием игровых приёмов действия.</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Какое?», «Один </w:t>
      </w:r>
      <w:proofErr w:type="gramStart"/>
      <w:r w:rsidRPr="00D97622">
        <w:rPr>
          <w:rFonts w:ascii="Times New Roman" w:hAnsi="Times New Roman" w:cs="Times New Roman"/>
          <w:sz w:val="28"/>
          <w:szCs w:val="28"/>
        </w:rPr>
        <w:t>много»…</w:t>
      </w:r>
      <w:proofErr w:type="gramEnd"/>
      <w:r w:rsidRPr="00D97622">
        <w:rPr>
          <w:rFonts w:ascii="Times New Roman" w:hAnsi="Times New Roman" w:cs="Times New Roman"/>
          <w:sz w:val="28"/>
          <w:szCs w:val="28"/>
        </w:rPr>
        <w:t>;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 xml:space="preserve">Дидактическая игра содержит два начала: учебное (познавательное) и игровое (занимательное). Где педагог </w:t>
      </w:r>
      <w:proofErr w:type="gramStart"/>
      <w:r w:rsidRPr="00D97622">
        <w:rPr>
          <w:rFonts w:ascii="Times New Roman" w:hAnsi="Times New Roman" w:cs="Times New Roman"/>
          <w:sz w:val="28"/>
          <w:szCs w:val="28"/>
        </w:rPr>
        <w:t>может быть</w:t>
      </w:r>
      <w:proofErr w:type="gramEnd"/>
      <w:r w:rsidRPr="00D97622">
        <w:rPr>
          <w:rFonts w:ascii="Times New Roman" w:hAnsi="Times New Roman" w:cs="Times New Roman"/>
          <w:sz w:val="28"/>
          <w:szCs w:val="28"/>
        </w:rPr>
        <w:t xml:space="preserve">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w:t>
      </w:r>
      <w:proofErr w:type="gramStart"/>
      <w:r w:rsidRPr="00D97622">
        <w:rPr>
          <w:rFonts w:ascii="Times New Roman" w:hAnsi="Times New Roman" w:cs="Times New Roman"/>
          <w:sz w:val="28"/>
          <w:szCs w:val="28"/>
        </w:rPr>
        <w:t>Рот»…</w:t>
      </w:r>
      <w:proofErr w:type="gramEnd"/>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 xml:space="preserve">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усвоения правил игры, когда дети начинают играть самостоятельно, игра востребована, появляется знак сначала «Два </w:t>
      </w:r>
      <w:r w:rsidRPr="00D97622">
        <w:rPr>
          <w:rFonts w:ascii="Times New Roman" w:hAnsi="Times New Roman" w:cs="Times New Roman"/>
          <w:sz w:val="28"/>
          <w:szCs w:val="28"/>
        </w:rPr>
        <w:lastRenderedPageBreak/>
        <w:t>колокольчика», затем «Один колокольчик», что означает игра простая, может использоваться детьми в самостоятельной деятельности.</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 xml:space="preserve">Привлекают внимание детей плачущие знаки мотивации. Так знак «Слёзы» — призывает детей поиграть </w:t>
      </w:r>
      <w:proofErr w:type="gramStart"/>
      <w:r w:rsidRPr="00D97622">
        <w:rPr>
          <w:rFonts w:ascii="Times New Roman" w:hAnsi="Times New Roman" w:cs="Times New Roman"/>
          <w:sz w:val="28"/>
          <w:szCs w:val="28"/>
        </w:rPr>
        <w:t>с невостребованной детьми</w:t>
      </w:r>
      <w:proofErr w:type="gramEnd"/>
      <w:r w:rsidRPr="00D97622">
        <w:rPr>
          <w:rFonts w:ascii="Times New Roman" w:hAnsi="Times New Roman" w:cs="Times New Roman"/>
          <w:sz w:val="28"/>
          <w:szCs w:val="28"/>
        </w:rPr>
        <w:t xml:space="preserve">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играющих, определить лучшего.</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Словесную игру можно использовать как часть фронтального занятия. Детям нравится по рассуждать во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w:t>
      </w:r>
      <w:proofErr w:type="spellStart"/>
      <w:r w:rsidRPr="00D97622">
        <w:rPr>
          <w:rFonts w:ascii="Times New Roman" w:hAnsi="Times New Roman" w:cs="Times New Roman"/>
          <w:sz w:val="28"/>
          <w:szCs w:val="28"/>
        </w:rPr>
        <w:t>Сидорчук</w:t>
      </w:r>
      <w:proofErr w:type="spellEnd"/>
      <w:r w:rsidRPr="00D97622">
        <w:rPr>
          <w:rFonts w:ascii="Times New Roman" w:hAnsi="Times New Roman" w:cs="Times New Roman"/>
          <w:sz w:val="28"/>
          <w:szCs w:val="28"/>
        </w:rPr>
        <w:t xml:space="preserve"> Т. А., Кузнецова А. Б. Обучение дошкольников творческому рассказыванию по картине), </w:t>
      </w:r>
      <w:proofErr w:type="gramStart"/>
      <w:r w:rsidRPr="00D97622">
        <w:rPr>
          <w:rFonts w:ascii="Times New Roman" w:hAnsi="Times New Roman" w:cs="Times New Roman"/>
          <w:sz w:val="28"/>
          <w:szCs w:val="28"/>
        </w:rPr>
        <w:t>рассказывают</w:t>
      </w:r>
      <w:proofErr w:type="gramEnd"/>
      <w:r w:rsidRPr="00D97622">
        <w:rPr>
          <w:rFonts w:ascii="Times New Roman" w:hAnsi="Times New Roman" w:cs="Times New Roman"/>
          <w:sz w:val="28"/>
          <w:szCs w:val="28"/>
        </w:rPr>
        <w:t xml:space="preserve"> что видят, домысливают сюжет, а «Волшебные трубочки» помогают детям конкретизировать рассматриваемый объект, выделяя его из общего поля зрения.</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умение потребуется для отгадывания и придумывания загадок, для правильного описания сюжетной картины.</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lastRenderedPageBreak/>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бумаги…Принимая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 </w:t>
      </w:r>
      <w:r w:rsidRPr="00D97622">
        <w:rPr>
          <w:rFonts w:ascii="Times New Roman" w:hAnsi="Times New Roman" w:cs="Times New Roman"/>
          <w:b/>
          <w:bCs/>
          <w:sz w:val="28"/>
          <w:szCs w:val="28"/>
        </w:rPr>
        <w:t xml:space="preserve">Так, </w:t>
      </w:r>
      <w:proofErr w:type="gramStart"/>
      <w:r w:rsidRPr="00D97622">
        <w:rPr>
          <w:rFonts w:ascii="Times New Roman" w:hAnsi="Times New Roman" w:cs="Times New Roman"/>
          <w:b/>
          <w:bCs/>
          <w:sz w:val="28"/>
          <w:szCs w:val="28"/>
        </w:rPr>
        <w:t>например</w:t>
      </w:r>
      <w:proofErr w:type="gramEnd"/>
      <w:r w:rsidRPr="00D97622">
        <w:rPr>
          <w:rFonts w:ascii="Times New Roman" w:hAnsi="Times New Roman" w:cs="Times New Roman"/>
          <w:sz w:val="28"/>
          <w:szCs w:val="28"/>
        </w:rPr>
        <w:t> дидактическая игра — «У кого какой предмет?» способствует активизации в речи слов, характеризующих цвет, размер, форму предметов.</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t>Через игру учим детей узнавать и называть цвета и их оттенки «Цветные странички», «Цветное лото», где сначала дети запоминают близкие друг другу по цвета красный – розовый, красный – оранжевый, розовый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D97622" w:rsidRPr="00D97622" w:rsidRDefault="00D97622" w:rsidP="00D97622">
      <w:pPr>
        <w:spacing w:after="0" w:line="240" w:lineRule="auto"/>
        <w:ind w:firstLine="709"/>
        <w:jc w:val="both"/>
        <w:rPr>
          <w:rFonts w:ascii="Times New Roman" w:hAnsi="Times New Roman" w:cs="Times New Roman"/>
          <w:sz w:val="28"/>
          <w:szCs w:val="28"/>
        </w:rPr>
      </w:pPr>
      <w:r w:rsidRPr="00D97622">
        <w:rPr>
          <w:rFonts w:ascii="Times New Roman" w:hAnsi="Times New Roman" w:cs="Times New Roman"/>
          <w:sz w:val="28"/>
          <w:szCs w:val="28"/>
        </w:rPr>
        <w:lastRenderedPageBreak/>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0C0A75" w:rsidRPr="00D97622" w:rsidRDefault="000C0A75" w:rsidP="00D97622">
      <w:pPr>
        <w:spacing w:after="0" w:line="240" w:lineRule="auto"/>
        <w:ind w:firstLine="709"/>
        <w:jc w:val="both"/>
        <w:rPr>
          <w:rFonts w:ascii="Times New Roman" w:hAnsi="Times New Roman" w:cs="Times New Roman"/>
          <w:sz w:val="28"/>
          <w:szCs w:val="28"/>
        </w:rPr>
      </w:pPr>
    </w:p>
    <w:sectPr w:rsidR="000C0A75" w:rsidRPr="00D9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7F"/>
    <w:rsid w:val="000C0A75"/>
    <w:rsid w:val="00D97622"/>
    <w:rsid w:val="00DA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C848"/>
  <w15:chartTrackingRefBased/>
  <w15:docId w15:val="{9DFF2347-20BA-4B42-B615-D2FDA62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2023-09-12T04:42:00Z</dcterms:created>
  <dcterms:modified xsi:type="dcterms:W3CDTF">2023-09-12T04:43:00Z</dcterms:modified>
</cp:coreProperties>
</file>