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B2" w:rsidRDefault="002946B2" w:rsidP="002946B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О.М. </w:t>
      </w:r>
      <w:proofErr w:type="spellStart"/>
      <w:r>
        <w:rPr>
          <w:b/>
          <w:color w:val="000000"/>
          <w:sz w:val="28"/>
          <w:szCs w:val="28"/>
        </w:rPr>
        <w:t>Кащеева</w:t>
      </w:r>
      <w:proofErr w:type="spellEnd"/>
      <w:r>
        <w:rPr>
          <w:b/>
          <w:color w:val="000000"/>
          <w:sz w:val="28"/>
          <w:szCs w:val="28"/>
        </w:rPr>
        <w:t>, учитель математики</w:t>
      </w:r>
    </w:p>
    <w:p w:rsidR="002946B2" w:rsidRDefault="002946B2" w:rsidP="002946B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высшей квалификационной категории,</w:t>
      </w:r>
    </w:p>
    <w:p w:rsidR="002946B2" w:rsidRDefault="002946B2" w:rsidP="002946B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КОУ  «Средняя школа №2 (</w:t>
      </w:r>
      <w:proofErr w:type="spellStart"/>
      <w:r>
        <w:rPr>
          <w:b/>
          <w:color w:val="000000"/>
          <w:sz w:val="28"/>
          <w:szCs w:val="28"/>
        </w:rPr>
        <w:t>очно-заочная</w:t>
      </w:r>
      <w:proofErr w:type="spellEnd"/>
      <w:r>
        <w:rPr>
          <w:b/>
          <w:color w:val="000000"/>
          <w:sz w:val="28"/>
          <w:szCs w:val="28"/>
        </w:rPr>
        <w:t>)» Омская область, г</w:t>
      </w:r>
      <w:proofErr w:type="gramStart"/>
      <w:r>
        <w:rPr>
          <w:b/>
          <w:color w:val="000000"/>
          <w:sz w:val="28"/>
          <w:szCs w:val="28"/>
        </w:rPr>
        <w:t>.О</w:t>
      </w:r>
      <w:proofErr w:type="gramEnd"/>
      <w:r>
        <w:rPr>
          <w:b/>
          <w:color w:val="000000"/>
          <w:sz w:val="28"/>
          <w:szCs w:val="28"/>
        </w:rPr>
        <w:t xml:space="preserve">мск. </w:t>
      </w:r>
    </w:p>
    <w:p w:rsidR="002946B2" w:rsidRDefault="002946B2" w:rsidP="002946B2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946B2" w:rsidRDefault="002946B2" w:rsidP="002946B2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УНИВЕРСАЛЬНЫХ УЧЕБНЫХ ДЕЙСТВИЙ НА УРОКАХ МАТЕМАТИКИ </w:t>
      </w:r>
    </w:p>
    <w:p w:rsidR="002946B2" w:rsidRDefault="002946B2" w:rsidP="00E94F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F57" w:rsidRDefault="00E94F57" w:rsidP="00E94F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</w:t>
      </w:r>
      <w:r w:rsidRPr="00A6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ебывалый рост объема информации требует от современного человека таких качеств, как инициативность, изобретательность, предприимчивость, способность быстро и безошибочно принимать решения, а это невозможно без умения работать творчески, самостоятельно.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ш</w:t>
      </w:r>
      <w:r w:rsidRPr="00A6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A6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прореагирова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6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 изменяющиеся условия развитием творческих способностей учащихся и воспитанием активной</w:t>
      </w:r>
      <w:r w:rsidRPr="00DB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5F65">
        <w:rPr>
          <w:rFonts w:ascii="Times New Roman" w:hAnsi="Times New Roman" w:cs="Times New Roman"/>
          <w:sz w:val="28"/>
          <w:szCs w:val="28"/>
        </w:rPr>
        <w:t>все более акт</w:t>
      </w:r>
      <w:r>
        <w:rPr>
          <w:rFonts w:ascii="Times New Roman" w:hAnsi="Times New Roman" w:cs="Times New Roman"/>
          <w:sz w:val="28"/>
          <w:szCs w:val="28"/>
        </w:rPr>
        <w:t xml:space="preserve">ивно </w:t>
      </w:r>
      <w:r w:rsidRPr="00A65F65">
        <w:rPr>
          <w:rFonts w:ascii="Times New Roman" w:hAnsi="Times New Roman" w:cs="Times New Roman"/>
          <w:sz w:val="28"/>
          <w:szCs w:val="28"/>
        </w:rPr>
        <w:t>в образовательном процессе использ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A65F65">
        <w:rPr>
          <w:rFonts w:ascii="Times New Roman" w:hAnsi="Times New Roman" w:cs="Times New Roman"/>
          <w:sz w:val="28"/>
          <w:szCs w:val="28"/>
        </w:rPr>
        <w:t xml:space="preserve"> в обучении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5F65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5F65">
        <w:rPr>
          <w:rFonts w:ascii="Times New Roman" w:hAnsi="Times New Roman" w:cs="Times New Roman"/>
          <w:sz w:val="28"/>
          <w:szCs w:val="28"/>
        </w:rPr>
        <w:t xml:space="preserve">, которые формируют умения самостоятельно добывать знания, собирать необходимую информацию, выдвигать гипотезы, делать выводы  и умозаключения. 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65F65">
        <w:rPr>
          <w:rFonts w:ascii="Times New Roman" w:hAnsi="Times New Roman" w:cs="Times New Roman"/>
          <w:sz w:val="28"/>
          <w:szCs w:val="28"/>
        </w:rPr>
        <w:t xml:space="preserve">школа становится не столько источником информации, сколько учит учиться; учитель </w:t>
      </w:r>
      <w:proofErr w:type="gramStart"/>
      <w:r w:rsidRPr="00A65F65">
        <w:rPr>
          <w:rFonts w:ascii="Times New Roman" w:hAnsi="Times New Roman" w:cs="Times New Roman"/>
          <w:sz w:val="28"/>
          <w:szCs w:val="28"/>
        </w:rPr>
        <w:t>не проводник</w:t>
      </w:r>
      <w:proofErr w:type="gramEnd"/>
      <w:r w:rsidRPr="00A65F65">
        <w:rPr>
          <w:rFonts w:ascii="Times New Roman" w:hAnsi="Times New Roman" w:cs="Times New Roman"/>
          <w:sz w:val="28"/>
          <w:szCs w:val="28"/>
        </w:rPr>
        <w:t xml:space="preserve"> знаний, а личность, обучающая способом творческой деятельности, направленной на самостоятельное приобретение и усвоение новых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97B" w:rsidRPr="004176E8" w:rsidRDefault="00F37F27" w:rsidP="0023597B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работаю в школе пенитенциарной системы, о</w:t>
      </w:r>
      <w:r w:rsidR="0023597B" w:rsidRPr="004176E8">
        <w:rPr>
          <w:color w:val="000000"/>
          <w:sz w:val="28"/>
          <w:szCs w:val="28"/>
        </w:rPr>
        <w:t xml:space="preserve">собенность </w:t>
      </w:r>
      <w:r>
        <w:rPr>
          <w:color w:val="000000"/>
          <w:sz w:val="28"/>
          <w:szCs w:val="28"/>
        </w:rPr>
        <w:t xml:space="preserve">которой </w:t>
      </w:r>
      <w:r w:rsidR="0023597B" w:rsidRPr="004176E8">
        <w:rPr>
          <w:color w:val="000000"/>
          <w:sz w:val="28"/>
          <w:szCs w:val="28"/>
        </w:rPr>
        <w:t>состоит в том, что её ученики как бы существуют в двух ипостасях – с одной стороны, осужденные, отбывающие наказание в исправительном учреждении, с другой – это наши ученики. Этим во многом определяются и уровень отношений в системе «Учитель-ученик», и содержание воспитательной работы, и учебные педагогические технологии.</w:t>
      </w:r>
      <w:r w:rsidR="0023597B">
        <w:rPr>
          <w:color w:val="000000"/>
          <w:sz w:val="28"/>
          <w:szCs w:val="28"/>
        </w:rPr>
        <w:t xml:space="preserve"> </w:t>
      </w:r>
      <w:r w:rsidR="0023597B" w:rsidRPr="004176E8">
        <w:rPr>
          <w:color w:val="000000"/>
          <w:sz w:val="28"/>
          <w:szCs w:val="28"/>
        </w:rPr>
        <w:t xml:space="preserve">Школа должна не только транслировать знания, но и дать возможность каждому ученику глубже понять себя и окружающих, раскрыть свой творческий потенциал, </w:t>
      </w:r>
      <w:proofErr w:type="spellStart"/>
      <w:r w:rsidR="0023597B" w:rsidRPr="004176E8">
        <w:rPr>
          <w:color w:val="000000"/>
          <w:sz w:val="28"/>
          <w:szCs w:val="28"/>
        </w:rPr>
        <w:t>самореализоваться</w:t>
      </w:r>
      <w:proofErr w:type="spellEnd"/>
      <w:r w:rsidR="0023597B" w:rsidRPr="004176E8">
        <w:rPr>
          <w:color w:val="000000"/>
          <w:sz w:val="28"/>
          <w:szCs w:val="28"/>
        </w:rPr>
        <w:t>.</w:t>
      </w:r>
    </w:p>
    <w:p w:rsidR="0023597B" w:rsidRDefault="0023597B" w:rsidP="0023597B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176E8">
        <w:rPr>
          <w:color w:val="000000"/>
          <w:sz w:val="28"/>
          <w:szCs w:val="28"/>
        </w:rPr>
        <w:t xml:space="preserve">Наши ученики – это осужденные особого и строгого режимов содержания, неоднократно судимые, ряд из них – по тяжелым статьям. Вследствие асоциального образа жизни, длительного пребывания в агрессивной среде большинство </w:t>
      </w:r>
      <w:proofErr w:type="spellStart"/>
      <w:r w:rsidRPr="004176E8">
        <w:rPr>
          <w:color w:val="000000"/>
          <w:sz w:val="28"/>
          <w:szCs w:val="28"/>
        </w:rPr>
        <w:t>обучающихся-осужденных</w:t>
      </w:r>
      <w:proofErr w:type="spellEnd"/>
      <w:r w:rsidRPr="004176E8">
        <w:rPr>
          <w:color w:val="000000"/>
          <w:sz w:val="28"/>
          <w:szCs w:val="28"/>
        </w:rPr>
        <w:t xml:space="preserve"> имеют низкий уровень развития психических процессов (память, внимание, мышление), имеют большие пробелы в знаниях. Кроме того, у </w:t>
      </w:r>
      <w:r w:rsidRPr="004176E8">
        <w:rPr>
          <w:color w:val="000000"/>
          <w:sz w:val="28"/>
          <w:szCs w:val="28"/>
        </w:rPr>
        <w:lastRenderedPageBreak/>
        <w:t xml:space="preserve">большинства учащихся практически отсутствует мотивация к учебному труду. Наши ученики по разным причинам не смогли окончить дневную школу, составляя контингент «трудных» подростков с </w:t>
      </w:r>
      <w:proofErr w:type="spellStart"/>
      <w:r w:rsidRPr="004176E8">
        <w:rPr>
          <w:color w:val="000000"/>
          <w:sz w:val="28"/>
          <w:szCs w:val="28"/>
        </w:rPr>
        <w:t>девиантным</w:t>
      </w:r>
      <w:proofErr w:type="spellEnd"/>
      <w:r w:rsidRPr="004176E8">
        <w:rPr>
          <w:color w:val="000000"/>
          <w:sz w:val="28"/>
          <w:szCs w:val="28"/>
        </w:rPr>
        <w:t xml:space="preserve"> поведением. </w:t>
      </w:r>
    </w:p>
    <w:p w:rsidR="00F37F27" w:rsidRPr="004176E8" w:rsidRDefault="00F37F27" w:rsidP="0023597B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D3244">
        <w:rPr>
          <w:rFonts w:eastAsia="Batang"/>
          <w:color w:val="000000"/>
          <w:sz w:val="28"/>
          <w:szCs w:val="28"/>
        </w:rPr>
        <w:t>Опыт показывает, что заинтересованная работа учащихся на уроке способствует формированию у них стремления к самообразованию, помогает выработать самостоятельность  мышления, воспитывает творчески мыслящих людей, что ведет к эффективности современного урока.</w:t>
      </w:r>
    </w:p>
    <w:p w:rsidR="00EF5AB7" w:rsidRPr="00EF5AB7" w:rsidRDefault="00E94F57" w:rsidP="00FC147F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66090">
        <w:rPr>
          <w:sz w:val="28"/>
          <w:szCs w:val="28"/>
        </w:rPr>
        <w:t>А это значит, что у современного ученика должны быть  сформированы универсальные учебные  действия</w:t>
      </w:r>
      <w:r w:rsidR="00EF5AB7">
        <w:rPr>
          <w:sz w:val="28"/>
          <w:szCs w:val="28"/>
        </w:rPr>
        <w:t xml:space="preserve"> (УУД)</w:t>
      </w:r>
      <w:r w:rsidRPr="00566090">
        <w:rPr>
          <w:sz w:val="28"/>
          <w:szCs w:val="28"/>
        </w:rPr>
        <w:t>, обеспечивающие способность к организации самостоятельной учебной деятельности.</w:t>
      </w:r>
      <w:r w:rsidR="00EF5AB7" w:rsidRPr="00EF5AB7">
        <w:rPr>
          <w:sz w:val="28"/>
          <w:szCs w:val="28"/>
        </w:rPr>
        <w:t xml:space="preserve"> </w:t>
      </w:r>
    </w:p>
    <w:p w:rsidR="00566090" w:rsidRPr="00566090" w:rsidRDefault="00566090" w:rsidP="00FC14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9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делятся на четыре основные группы: личностные, познавательные (</w:t>
      </w:r>
      <w:proofErr w:type="spellStart"/>
      <w:r w:rsidRPr="00566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566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логические действия, действия постановки и решения проблемы), регулятивные и коммуникативные УУД.</w:t>
      </w:r>
    </w:p>
    <w:p w:rsidR="00257530" w:rsidRPr="00EF5AB7" w:rsidRDefault="00566090" w:rsidP="002575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66090">
        <w:rPr>
          <w:sz w:val="28"/>
          <w:szCs w:val="28"/>
        </w:rPr>
        <w:t>Большая роль при формировании познавательных и регулятивных универсальных учебных действий отводится математике. Поскольку в первую очередь, при обучении математике у учащихся развиваются такие свойства интеллекта, как математическая интуиция, логическое и пространственное мышление, способность к конструктивно-математической деятельности, комбинаторный стиль мышления, алгоритмическое мышление, владение символическим языком математики, общие математические способности. Одной из современных педагогических технологий, позволяющей формировать УУД, является технология развития критического мышления (ТРКМ).</w:t>
      </w:r>
      <w:r w:rsidR="00257530">
        <w:rPr>
          <w:sz w:val="28"/>
          <w:szCs w:val="28"/>
        </w:rPr>
        <w:t xml:space="preserve"> </w:t>
      </w:r>
      <w:r w:rsidR="00257530" w:rsidRPr="00B90438">
        <w:rPr>
          <w:sz w:val="28"/>
          <w:szCs w:val="28"/>
        </w:rPr>
        <w:t>Данная технология основана на творческом сотрудничестве ученика и учителя, на развитии у школьников аналитического подхода к любому материалу. Она рассчитана не на запоминание материала, а на постановку проблемы и поиск ее решения.</w:t>
      </w:r>
    </w:p>
    <w:p w:rsidR="00673325" w:rsidRPr="00673325" w:rsidRDefault="00673325" w:rsidP="006733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Приемы, используемые в технологии развития критического мышления, многофункциональны, работают на развитие не только интеллектуальных, но и личностных умений, а выстроенные в логике “вызов – осмысление – рефлексия” (три этапа базовой модели технологии), способствуют развитию регулятивных действий, помогают овладеть умением учиться самостоятельно.</w:t>
      </w:r>
    </w:p>
    <w:p w:rsidR="00673325" w:rsidRPr="00673325" w:rsidRDefault="00673325" w:rsidP="0067332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приемы технологии развития критического мышления формируют и развивают определенные универсальные учебные действия (умения).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93"/>
        <w:gridCol w:w="7289"/>
      </w:tblGrid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Приемы ТРКМ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Пометки на полях, чтение с остановками, “РАФТ”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Кластер, “Ромашка вопросов”, “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верные - неверные утверждения, “Кубик”,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“Перепутанные логические цепочки”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постановки и решения проблемы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“Знаем – Хотим узнать – Узнали”, “тонкие” и “толстые” вопросы, “Ассоциации”, “Мозговой штурм”</w:t>
            </w:r>
            <w:proofErr w:type="gramEnd"/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Кластер, “Карта познания” и др.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“Таблицы, схемы”,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“Как вы думаете?”, “Бортовой журнал” и др.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“Корзина идей, понятий”, кластер, “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“Мозговой штурм”, дискуссия, “Карусель”, “Зигзаг” (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др.</w:t>
            </w:r>
            <w:proofErr w:type="gramEnd"/>
          </w:p>
        </w:tc>
      </w:tr>
    </w:tbl>
    <w:p w:rsidR="00673325" w:rsidRPr="00673325" w:rsidRDefault="00673325" w:rsidP="00673325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практической деятельности я использую разные приемы технологии развития критического мышления. Рассмотрим некоторые из них.</w:t>
      </w:r>
    </w:p>
    <w:p w:rsidR="00673325" w:rsidRPr="002946B2" w:rsidRDefault="00673325" w:rsidP="0067332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94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Приемы технологии развития критического мышления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43"/>
        <w:gridCol w:w="822"/>
        <w:gridCol w:w="695"/>
        <w:gridCol w:w="602"/>
        <w:gridCol w:w="534"/>
        <w:gridCol w:w="1079"/>
        <w:gridCol w:w="710"/>
        <w:gridCol w:w="3297"/>
      </w:tblGrid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Описание приема</w:t>
            </w:r>
          </w:p>
        </w:tc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Задание для учеников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Применение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Пометки на полях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текст, делая пометки на полях: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– известная информация;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“+” – новая информация;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“–” – информация, идущая вразрез с имеющимися представлениями и знаниями;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“?” – непонятная информация. После работы с текстом – обсуждение с обязательным обращением к исходному тексту</w:t>
            </w:r>
          </w:p>
        </w:tc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“Прочитать текст с маркировкой на полях и заполнить таблицу” (заполняется сначала 1-ая колонка по всему тексту, затем 2-ая и т.д.).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делают краткие: ключевые слова, фразы, формулы, получается мини-конспект.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“Осмысление”, “рефлексия”</w:t>
            </w:r>
            <w:proofErr w:type="gramStart"/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беспечивается вдумчивое, внимательное чтение, т.к. для заполнения таблицы понадобится вновь вернуться к тексту. Активное чтение способствует развитию умения классифицировать, систематизировать поступающую информацию, выделять новое.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 класс. 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 Тема урока: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“Сумма углов треугольника”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Уже знал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Узнал новое</w:t>
            </w:r>
            <w:proofErr w:type="gram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Думал иначе</w:t>
            </w:r>
            <w:proofErr w:type="gram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Есть вопросы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(?)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6733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всех углов 180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673325" w:rsidRPr="00673325" w:rsidRDefault="00673325" w:rsidP="006733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Остроугольный треугольник.</w:t>
            </w:r>
          </w:p>
          <w:p w:rsidR="00673325" w:rsidRPr="00673325" w:rsidRDefault="00673325" w:rsidP="006733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Тупоугольный треугольник.</w:t>
            </w:r>
          </w:p>
          <w:p w:rsidR="00673325" w:rsidRPr="00673325" w:rsidRDefault="00673325" w:rsidP="006733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треугольник.</w:t>
            </w:r>
          </w:p>
        </w:tc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6733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теоремы о сумме углов треугольника.</w:t>
            </w:r>
          </w:p>
          <w:p w:rsidR="00673325" w:rsidRPr="00673325" w:rsidRDefault="00673325" w:rsidP="006733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угол треугольника, его свойство.</w:t>
            </w:r>
          </w:p>
          <w:p w:rsidR="00673325" w:rsidRPr="00673325" w:rsidRDefault="00673325" w:rsidP="006733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Гипотенуза, катет.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6733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сумме двух других углов, если есть прямой или тупой угол в треугольнике.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6733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разобрал доказательство теоремы.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Составление кластера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Кластер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прием систематизации материала в виде схемы (рисунка), когда выделяются смысловые единицы текста. В центре доски 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(тетради) записывается ключевое слово, от него рисуются стрелки-лучи в разные стороны к другим понятиям, связанным с ключевым словом; от них тоже расходятся лучи и т.д.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уточнения информации кластер видоизменяется.</w:t>
            </w:r>
          </w:p>
        </w:tc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“Составить кластер с ключевыми словами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“Квадратное 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уравнение”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ходу объяснения нового материала”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“Вызов”, “осмысление”</w:t>
            </w:r>
            <w:proofErr w:type="gramStart"/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,“</w:t>
            </w:r>
            <w:proofErr w:type="gramEnd"/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рефлексия”,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для индивидуальной, 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коллективной или групповой работы, домашнее задание. Способствует развитию системного мышления.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Пример кластера.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 класс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Алгебра.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“Квадратные уравнения”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2971800"/>
                  <wp:effectExtent l="19050" t="0" r="0" b="0"/>
                  <wp:docPr id="2" name="Рисунок 2" descr="http://festival.1september.ru/articles/655857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55857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“Тонкие” и “толстые” вопросы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составляют таблицу “тонких” (требуют простого, однозначного ответа) и “толстых” вопросов, на которые ответить столь определенно невозможно. “Толстые” вопросы – это проблемные вопросы, предполагающие неоднозначные ответы. Затем составляется таблица ответов на эти вопросы.</w:t>
            </w:r>
          </w:p>
        </w:tc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продолжение вопроса: </w:t>
            </w:r>
            <w:proofErr w:type="gramStart"/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“Тонкие” вопросы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кто... что... как…когда... могут ли... будет... было ли... верно ли...</w:t>
            </w:r>
            <w:proofErr w:type="gramEnd"/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 ли вы...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называются стороны прямоугольного треугольника?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“Толстые” вопросы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что, если... дайте объяснение, почему...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разница... (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Почему параллелограмм называется “параллелограммом”?)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этапы урока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развитию мышления и внимания учащихся, развивается умение задавать “умные” вопросы. Классификация вопросов помогает в поиске ответов, заставляет вдумываться в текст и помогает лучше усвоить содержание изучаемого материала.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Таблица “Знаем – Хотим узнать – Узнали”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 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один из способов графической организации материала. Ученики заполняют 1-ю колонку “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Знаю”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актуализации знаний. В колонку 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“Хочу узнать”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предлагается внести свои спорные мысли и вопросы, возникшие в ходе обсуждения темы урока. Затем ученики читают новый текст, пытаясь найти ответы на поставленные ими вопросы. После чтения текста заполняют колонку “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Узнал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Ответы располагают напротив поставленных вопросов. Далее 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обучающимся предлагаем сравнить, что они знали раньше с информацией, полученной из текста.</w:t>
            </w:r>
          </w:p>
        </w:tc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“Заполнить таблицу “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Знаем – Хотим узнать – Узнали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по теме урока”.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Создать ситуацию актуализации опыта ученика.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Сформировать мотивацию ученика.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“Осмысление”, “рефлексия”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 знаний, домашнее задание. Составление таблицы помогает уч-ся собрать уже имеющийся по теме материал, расширить знания по изучаемому вопросу, систематизировать их, сформулировать направления для дальнейшего самостоятельного исследования.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Пример.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класс. 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Тема урока: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“Деление обыкновенных дробей”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Узнал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67332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обыкновенных дробей </w:t>
            </w:r>
            <w:r w:rsidRPr="006733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390525"/>
                  <wp:effectExtent l="19050" t="0" r="0" b="0"/>
                  <wp:docPr id="3" name="Рисунок 3" descr="http://festival.1september.ru/articles/655857/Image23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55857/Image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325" w:rsidRPr="00673325" w:rsidRDefault="00673325" w:rsidP="0067332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</w:t>
            </w:r>
          </w:p>
          <w:p w:rsidR="00673325" w:rsidRPr="00673325" w:rsidRDefault="00673325" w:rsidP="00297C6C">
            <w:pPr>
              <w:spacing w:after="135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390525"/>
                  <wp:effectExtent l="19050" t="0" r="9525" b="0"/>
                  <wp:docPr id="4" name="Рисунок 4" descr="http://festival.1september.ru/articles/655857/Image23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55857/Image23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325" w:rsidRPr="00673325" w:rsidRDefault="00673325" w:rsidP="0067332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смешанных чисел.</w:t>
            </w:r>
          </w:p>
          <w:p w:rsidR="00673325" w:rsidRPr="00673325" w:rsidRDefault="00673325" w:rsidP="0067332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смешанного числа в виде неправильной дроби.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6733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делить дроби?</w:t>
            </w:r>
          </w:p>
          <w:p w:rsidR="00673325" w:rsidRPr="00673325" w:rsidRDefault="00673325" w:rsidP="006733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делить смешанные числа?</w:t>
            </w:r>
          </w:p>
          <w:p w:rsidR="00673325" w:rsidRPr="00673325" w:rsidRDefault="00673325" w:rsidP="006733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задач, содержащих деление дробей.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67332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разделить одну дробь на другую, надо делимое умножить на число, обратное делителю.</w:t>
            </w:r>
          </w:p>
          <w:p w:rsidR="00673325" w:rsidRPr="00673325" w:rsidRDefault="00673325" w:rsidP="0067332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представить смешанные числа в виде неправильных дробей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Осталось узнать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6733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</w:t>
            </w:r>
          </w:p>
          <w:p w:rsidR="00673325" w:rsidRPr="00673325" w:rsidRDefault="00673325" w:rsidP="006733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Потренироваться в совместных действиях с дробями.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“Перепутанные логические цепочки”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 предлагается набор фактов, формул, последовательность которых нарушена; необходимо расставить материал в нужном порядке. Можно использовать при изучении теорем, при решении уравнений и задач.</w:t>
            </w:r>
          </w:p>
        </w:tc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Алгебра. Тема: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Формулысокращенного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умножения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”.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составить три соответствующие формулы (набор из 12 карточек).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добавить карточки “раскрой скобки”, “разложи на множители”.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“Вызов”, “рефлексия”</w:t>
            </w:r>
            <w:proofErr w:type="gramStart"/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индивидуальной, парной работы.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формированию внимания, сосредоточенности, умения собирать и анализировать полученную информацию.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“Ромашка вопросов”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 предлагается ответить на вопросы “ромашки”: 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простые, уточняющие, объясняющие, практические, творческие.</w:t>
            </w:r>
            <w:proofErr w:type="gram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Составленные вопросы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 с классификацией уровней познавательной деятельности: 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знание, понимание, применение, анализ, синтез и оценка.</w:t>
            </w:r>
          </w:p>
        </w:tc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Пример.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класс. 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“Призма”.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“ромашки”:</w:t>
            </w:r>
          </w:p>
          <w:p w:rsidR="00673325" w:rsidRPr="00673325" w:rsidRDefault="00673325" w:rsidP="006733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фигуры могут лежать в основании призмы?</w:t>
            </w:r>
          </w:p>
          <w:p w:rsidR="00673325" w:rsidRPr="00673325" w:rsidRDefault="00673325" w:rsidP="006733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виды призм бывают?</w:t>
            </w:r>
          </w:p>
          <w:p w:rsidR="00673325" w:rsidRPr="00673325" w:rsidRDefault="00673325" w:rsidP="006733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ребер имеет треугольная призма?</w:t>
            </w:r>
          </w:p>
          <w:p w:rsidR="00673325" w:rsidRPr="00673325" w:rsidRDefault="00673325" w:rsidP="006733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граней у четырехугольной призмы?</w:t>
            </w:r>
          </w:p>
          <w:p w:rsidR="00673325" w:rsidRPr="00673325" w:rsidRDefault="00673325" w:rsidP="006733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куб назвать призмой? Почему?</w:t>
            </w:r>
          </w:p>
          <w:p w:rsidR="00673325" w:rsidRPr="00673325" w:rsidRDefault="00673325" w:rsidP="006733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встречается слово “Призма”?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ответе на вопросы учащиеся анализируют и интерпретируют информацию, анализируют идеи, строят гипотезы, отстаивают свою точку зрения. Вопросы являются средством стимулирования различных видов мышления на разных уровнях сложности.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Написание 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синквейна</w:t>
            </w:r>
            <w:proofErr w:type="spellEnd"/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Ученикам объясняется правила написания 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73325" w:rsidRPr="00673325" w:rsidRDefault="00673325" w:rsidP="006733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строка – тема</w:t>
            </w:r>
          </w:p>
          <w:p w:rsidR="00673325" w:rsidRPr="00673325" w:rsidRDefault="00673325" w:rsidP="00297C6C">
            <w:pPr>
              <w:spacing w:after="135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(одно существительное);</w:t>
            </w:r>
          </w:p>
          <w:p w:rsidR="00673325" w:rsidRPr="00673325" w:rsidRDefault="00673325" w:rsidP="006733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строка – описание предмета (два прилагательных);</w:t>
            </w:r>
          </w:p>
          <w:p w:rsidR="00673325" w:rsidRPr="00673325" w:rsidRDefault="00673325" w:rsidP="006733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строка – описание действия (три глагола);</w:t>
            </w:r>
          </w:p>
          <w:p w:rsidR="00673325" w:rsidRPr="00673325" w:rsidRDefault="00673325" w:rsidP="006733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строка – фраза из четырех слов, выражающая отношение к предмету;</w:t>
            </w:r>
          </w:p>
          <w:p w:rsidR="00673325" w:rsidRPr="00673325" w:rsidRDefault="00673325" w:rsidP="006733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строка – синоним, обобщающий или расширяющий смысл темы (одно слово).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Приводится несколько примеров 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синквейнов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Задается тема, фиксируется время на написание 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синквейнов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Заслушиваются варианты (по желанию учеников).</w:t>
            </w:r>
          </w:p>
        </w:tc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Примеры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синквейнов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составленные учениками: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класс.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Тема: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”.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Текстовая, логическая.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Анализируем, сравниваем, рассуждаем.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очень интересно.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класс.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Тема: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Дробь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”.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Обыкновенная, десятичная.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Складываем, умножаем, сокращаем.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любят математики и танцоры.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класс.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Тема: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Планиметрия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Практическая, важная.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Доказывает, утверждает, обосновывает.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Нужная наука о свойствах фигур.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“Рефлексия”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групповой, индивидуальной, парной работы. Данная форма работы дает возможность усвоить 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моменты </w:t>
            </w:r>
            <w:proofErr w:type="spellStart"/>
            <w:proofErr w:type="gram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изучен-ного</w:t>
            </w:r>
            <w:proofErr w:type="spellEnd"/>
            <w:proofErr w:type="gram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материала; творчески переработать важные понятия темы, поддерживает высокий уровень познавательного интереса и способствует умственной активности учащихся.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“</w:t>
            </w:r>
            <w:proofErr w:type="gramStart"/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удитория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”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выбирает для себя 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роль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(пишет не от своего лица); определяет, 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кого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 пишет (для родителей, одноклассников); выбирает 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 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(письмо, рассказ, загадка) и </w:t>
            </w: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тему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Тема: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”.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 – фигура объемная. У меня 8 вершин, 12 ребер, все грани являются квадратами. Как найти мой объем?”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Пирамида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”.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 – многогранная фигура! У меня есть вершины, грани и основание. Причем одна-единственная вершина расположена не в основании. У нее особое – почетное место! В основании может лежать любой многоугольник, от которого и зависит мое имя. А все боковые грани – треугольники.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меня зовут, мой юный друг?”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“Рефлексия”.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может вестись в парах, а также с опорой на вопросы. Развивает аналитические, творческие способности.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gridSpan w:val="8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“Карта познания”</w:t>
            </w:r>
          </w:p>
        </w:tc>
      </w:tr>
      <w:tr w:rsidR="00673325" w:rsidRPr="00673325" w:rsidTr="00297C6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ключевого понятия, помещенного в центр листа (доски), отходят 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изогнутые линии (ветви) первого порядка с помещенными на них словами, связанными с ключевым понятием; далее помещаются “ветви” второго порядка с понятиями, уточняющими первоначальные сведения. Надо стремиться использовать для создания “карты” меньше слов, но больше символов, рисунков, цвета.</w:t>
            </w:r>
          </w:p>
        </w:tc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 класс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Алгебра. Тема: 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“Степень</w:t>
            </w:r>
            <w:r w:rsidRPr="006733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снатуральным</w:t>
            </w:r>
            <w:proofErr w:type="spellEnd"/>
            <w:r w:rsidRPr="0067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показателем”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Задание: составить “карту познания” с ключевым понятием “Степень с натуральным показателем”.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“Ветви” I порядка: определение, название свой</w:t>
            </w:r>
            <w:proofErr w:type="gramStart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епени.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“Ветви” II порядка: запись свойств символами.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“Ветви” III порядка: пример на каждое свойство.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325" w:rsidRPr="00673325" w:rsidRDefault="00673325" w:rsidP="002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“Вызов”, “рефлексия”</w:t>
            </w:r>
            <w:proofErr w:type="gramStart"/>
            <w:r w:rsidRPr="00673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парной, групповой работы.</w:t>
            </w:r>
          </w:p>
          <w:p w:rsidR="00673325" w:rsidRPr="00673325" w:rsidRDefault="00673325" w:rsidP="00297C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форма работы создает </w:t>
            </w:r>
            <w:r w:rsidRPr="0067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для систематизации материала, развивает логические способности, умения работать с символами.</w:t>
            </w:r>
          </w:p>
        </w:tc>
      </w:tr>
    </w:tbl>
    <w:p w:rsidR="00FD55E7" w:rsidRDefault="00FD55E7" w:rsidP="00FD55E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E7" w:rsidRPr="00FD55E7" w:rsidRDefault="00FD55E7" w:rsidP="00FD55E7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Комбинируя различные приемы ТРКМ, я планирую уроки в соответствии с уровнем зрелости учеников, целями урока и объемом учебного материала. Применение технологии развития критического мышления способствует развитию у моих учеников умений работать с информацией, активно ее воспринимать, проводить анализ и преобразование информации, критически оценивать новые знания, делать выводы и обобщения (познавательные УУД). </w:t>
      </w:r>
      <w:proofErr w:type="gramStart"/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выдвигать гипотезы, проводить исследование, решать проблему, рассматривая несколько возможностей ее решения, логически рассуждать.</w:t>
      </w:r>
      <w:proofErr w:type="gramEnd"/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ТРКМ обеспечивает развитие и </w:t>
      </w:r>
      <w:proofErr w:type="gramStart"/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УУД: ученики учатся использовать средства языка, в том числе и математического, и речи для получения и передачи информации, учатся самовыражению (монологическим высказываниям разного типа). Они активно участвуют в диалоге, умеют работать в сотрудничестве с другими. Идет формирование и регулятивных УУД: умений строить прогнозы, обосновывать их, ставить перед собой обдуманные цели, проводить оценку и планомерный поиск альтернативных решений.</w:t>
      </w:r>
    </w:p>
    <w:p w:rsidR="00FD55E7" w:rsidRPr="00FD55E7" w:rsidRDefault="00FD55E7" w:rsidP="003F7755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ТРКМ стимулирует самостоятельную поисковую и творческую деятельность школьников, развивает умение критически мыслить, запускает механизмы самообразования и самоорганизации, повышает интерес к самому процессу обучения, формирует умения ответственно относиться к </w:t>
      </w:r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собственному образованию, желание стать человеком, который учится в течение всей жизни.</w:t>
      </w:r>
    </w:p>
    <w:p w:rsidR="00FD55E7" w:rsidRDefault="00FD55E7" w:rsidP="00B12C7F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развитием критического мышления формируется новый стиль интеллектуальной работы. Человек с хорошо развитым критическим мышлением коммуникабелен, мобилен и самостоятелен. Он внимательно относится к людям и несет ответственность за результаты своей деятельности.</w:t>
      </w:r>
    </w:p>
    <w:p w:rsidR="00566090" w:rsidRPr="00FD55E7" w:rsidRDefault="00566090" w:rsidP="00FD55E7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6090" w:rsidRPr="00FD55E7" w:rsidSect="00E94F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D91"/>
    <w:multiLevelType w:val="multilevel"/>
    <w:tmpl w:val="E310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2F2F"/>
    <w:multiLevelType w:val="multilevel"/>
    <w:tmpl w:val="AE9C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D245B"/>
    <w:multiLevelType w:val="multilevel"/>
    <w:tmpl w:val="D11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63A3D"/>
    <w:multiLevelType w:val="multilevel"/>
    <w:tmpl w:val="C9C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62185"/>
    <w:multiLevelType w:val="multilevel"/>
    <w:tmpl w:val="6D44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A36A4"/>
    <w:multiLevelType w:val="multilevel"/>
    <w:tmpl w:val="FE3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C6FC5"/>
    <w:multiLevelType w:val="multilevel"/>
    <w:tmpl w:val="4EF6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459BE"/>
    <w:multiLevelType w:val="multilevel"/>
    <w:tmpl w:val="12B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A0394"/>
    <w:multiLevelType w:val="multilevel"/>
    <w:tmpl w:val="C9B4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42CDD"/>
    <w:multiLevelType w:val="multilevel"/>
    <w:tmpl w:val="A528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A28"/>
    <w:rsid w:val="0023597B"/>
    <w:rsid w:val="00257530"/>
    <w:rsid w:val="002946B2"/>
    <w:rsid w:val="002E0174"/>
    <w:rsid w:val="003F7755"/>
    <w:rsid w:val="004E110F"/>
    <w:rsid w:val="00566090"/>
    <w:rsid w:val="00673325"/>
    <w:rsid w:val="00716A28"/>
    <w:rsid w:val="008B76A8"/>
    <w:rsid w:val="008B7B14"/>
    <w:rsid w:val="008C4A03"/>
    <w:rsid w:val="008E09A7"/>
    <w:rsid w:val="00A65F65"/>
    <w:rsid w:val="00B12C7F"/>
    <w:rsid w:val="00E94F57"/>
    <w:rsid w:val="00EF5AB7"/>
    <w:rsid w:val="00F37F27"/>
    <w:rsid w:val="00FC147F"/>
    <w:rsid w:val="00FD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12</cp:revision>
  <dcterms:created xsi:type="dcterms:W3CDTF">2017-10-14T02:58:00Z</dcterms:created>
  <dcterms:modified xsi:type="dcterms:W3CDTF">2017-10-14T04:38:00Z</dcterms:modified>
</cp:coreProperties>
</file>