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AF" w:rsidRDefault="006D2AAF" w:rsidP="006D2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D2AAF">
        <w:rPr>
          <w:rFonts w:ascii="Times New Roman" w:hAnsi="Times New Roman" w:cs="Times New Roman"/>
          <w:b/>
          <w:sz w:val="28"/>
          <w:szCs w:val="28"/>
        </w:rPr>
        <w:t>Организация разнообразных видов деятельности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с детьми в летний период является гармоничным продолжением образовательного процесса и деятельности педагогического коллектива по развитию каждого обучающегося, его способности к заполнению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общественно-полезной, музыкальной деятельностью, формированию вкуса к активному отдыху.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социальном приюте для детей и подростков был организован детский оздоровительный лагерь с дневным пребыванием. Летний  лагерь необходим детям для укрепления здоровья, физической закалки, восстановления сил. Но это также время их обогащения, время действий, пробы и проверки своих сил, время освоения и осмысления окружающего  мира.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лагере на протяжении всей смены были организованы мероприятия. Это очень удобно, так как весь день все заняты одним делом и работают по одному направлению. Были проведены следующие тематические дни: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«Наш любимый край» - умники и умницы;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«Поход на поляну»- экскурсия на поляну;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«День красок» - конкурс загадок;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«Открытие лагеря»;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«Россия-родина моя»- познавательная игра «Имею право»;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дорогам сказок»- рисуем «В каждом рисунке сказка»;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викторин»- спортивная викторина.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8765" cy="1654175"/>
            <wp:effectExtent l="19050" t="0" r="635" b="0"/>
            <wp:docPr id="1" name="Рисунок 1" descr="SAM_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26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0005" cy="1677670"/>
            <wp:effectExtent l="19050" t="0" r="0" b="0"/>
            <wp:docPr id="2" name="Рисунок 3" descr="SAM_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AM_27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Спортивные мероприятия: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«Красная книга»- игры с мячом на воздухе;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«День профессии»- игры со спортивным инвентарем;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«День здоровья и спорта»- праздник здоровья;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«День экологии»- спортивные игры на воздухе;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«Безопасность превыше всего»- правила дорожного движения;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«Верные друзья»- игровая программа «12 месяцев»;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«День здоровья и спорта»- праздник здоровья; 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«День конкурсов»- конкурсная программа «Лучшая Баба-Яга»;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«День костра»- мероприятие «Гори, гори ясно».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AF" w:rsidRDefault="006D2AAF" w:rsidP="006D2A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8765" cy="2113915"/>
            <wp:effectExtent l="19050" t="0" r="635" b="0"/>
            <wp:docPr id="3" name="Рисунок 10" descr="SAM_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AM_17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D2AAF" w:rsidRDefault="006D2AAF" w:rsidP="006D2AA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протяжении всей смены большое внимание уделялось здоровому времяпрепровождению детей. Каждое утро с детьми проводилась оздоровительная физическая зарядка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чередуя ее со спортивными упражнениями. Постоянно осуществлялся контроль над соблюдением личной гигиены детьми до и после приема пищи. Ни одного дня не проходило без подвижных игр. Проводились как командные игры, так и игры на личное первенство: «Игры с мячом на воздухе», «Лучшая Баба-Яга», «Игры со спортивным инвентарем», «Гори, гори ясно».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D2AAF" w:rsidRDefault="006D2AAF" w:rsidP="006D2AA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2AAF" w:rsidRDefault="006D2AAF" w:rsidP="006D2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450" cy="2324100"/>
            <wp:effectExtent l="19050" t="0" r="0" b="0"/>
            <wp:docPr id="4" name="Рисунок 4" descr="SAM_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AM_29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нравственности и патриотизма в детях заключалось в проведении серии мероприятий, связанных с родным краем. Были проведены «Экскурсии на поляну», «Конкурс загадок», «Красная книга», «День экологии», «Умники и умницы». Эти мероприятия познакомили детей с народными обычаями, растениями родного села. Дети узнали много нового из прошлого нашей малой родины, самобытности местной культуры, истории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показали свои практические знания и умения. По результатам данных мероприятий ребята были награждены грамотами. </w:t>
      </w:r>
      <w:r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мероприятиях второй смены принимали Осипов Данил, Зарубин Сергей, Румянцева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ирзаяновРадмир,МирзаяновИльназ,МирзаяноваГульназ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Серегина Вика, а в третьей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Галина, Корсакова Алеся,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Резеда.</w:t>
      </w:r>
    </w:p>
    <w:p w:rsidR="006D2AAF" w:rsidRDefault="006D2AAF" w:rsidP="006D2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320" cy="2212975"/>
            <wp:effectExtent l="19050" t="0" r="0" b="0"/>
            <wp:docPr id="5" name="Рисунок 8" descr="SAM_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AM_51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AF" w:rsidRDefault="006D2AAF" w:rsidP="006D2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AAF" w:rsidRDefault="006D2AAF" w:rsidP="006D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Развитию интеллектуальных способностей ребенка способствовали такие мероприятия как игра «Имею право», «12 месяцев», «В каждом рисунке сказка», «Волшебница вода», «Счастливый случай» и КВН.  Самыми активными участниками игр были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А.Стас,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Б.Настя, О. Настя, Р.Полина, З. Альберт, С. Светлана, Р.Вадим, С.Роман, Г.Резеда, Р.Михаил. Самыми запоминающимися, яркими событиями лагеря, по мнению учащихся, стали День Красок, День экологии, День конкурсов, День костра, игры КВН, Счастливый случай и Конкурсы </w:t>
      </w: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рисунков.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3575" cy="2399665"/>
            <wp:effectExtent l="19050" t="0" r="0" b="0"/>
            <wp:docPr id="6" name="Рисунок 1" descr="SAM_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M_42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6D2AAF" w:rsidRDefault="006D2AAF" w:rsidP="006D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мероприятия не только сплачивают коллектив, но и  помогают ребенку раскрыть свои актерские, творческие способности.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торжественного открытия и закрытия лагеря дети исполняли песни, читали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стихи, играли в игры, показали театрализованное представление, действующими лицами которого были девочки и мальчики.</w:t>
      </w:r>
    </w:p>
    <w:p w:rsidR="006D2AAF" w:rsidRDefault="006D2AAF" w:rsidP="006D2AAF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 время пребывания в лагере ребята сдружились, лучше узнали друг друга, а многие приобрели новых друзей. Каждый день, проведенный вместе, надолго останется в памяти мальчишек и девчонок.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D2AAF" w:rsidRDefault="006D2AAF" w:rsidP="006D2AAF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2AAF" w:rsidRDefault="006D2AAF" w:rsidP="006D2A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3915" cy="2533650"/>
            <wp:effectExtent l="19050" t="0" r="6985" b="0"/>
            <wp:docPr id="7" name="Рисунок 9" descr="SAM_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AM_49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AF" w:rsidRDefault="006D2AAF" w:rsidP="006D2A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период работы лагеря дети почерпнули много нового, получили высокий эмоциональный подъём, заряд бодрости, укрепили здоровье и повысили свой познавательный уровень.</w:t>
      </w:r>
    </w:p>
    <w:p w:rsidR="006D2AA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AF" w:rsidRPr="00D35EBF" w:rsidRDefault="006D2AAF" w:rsidP="006D2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AF" w:rsidRDefault="006D2AAF" w:rsidP="006D2AAF"/>
    <w:p w:rsidR="00CD1415" w:rsidRDefault="00CD1415"/>
    <w:sectPr w:rsidR="00CD1415" w:rsidSect="00D40EE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2AAF"/>
    <w:rsid w:val="006D2AAF"/>
    <w:rsid w:val="00CD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2017-10-07T22:22:00Z</dcterms:created>
  <dcterms:modified xsi:type="dcterms:W3CDTF">2017-10-07T22:23:00Z</dcterms:modified>
</cp:coreProperties>
</file>