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C8" w:rsidRDefault="006157C8" w:rsidP="006157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Факторы успешной социализации детей дошкольного возраста</w:t>
      </w:r>
    </w:p>
    <w:p w:rsidR="006157C8" w:rsidRDefault="006157C8" w:rsidP="006157C8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начала мы считаем необходимым дать краткую характеристику всех существующих факторов, так или иначе влияющих на процесс социализации личности. 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Традиционная классификация факторов социализации включает себя 4 больших группы факторов:</w:t>
      </w:r>
    </w:p>
    <w:p w:rsidR="006157C8" w:rsidRDefault="006157C8" w:rsidP="006157C8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мегафакторы</w:t>
      </w:r>
      <w:proofErr w:type="spellEnd"/>
      <w:r>
        <w:rPr>
          <w:color w:val="000000"/>
          <w:sz w:val="28"/>
          <w:szCs w:val="28"/>
        </w:rPr>
        <w:t xml:space="preserve"> которые</w:t>
      </w:r>
      <w:r>
        <w:rPr>
          <w:color w:val="000000"/>
          <w:sz w:val="28"/>
          <w:szCs w:val="28"/>
        </w:rPr>
        <w:t xml:space="preserve"> включают в себя космос, планету, мир, и которые в той или иной мере влияют на человека через другие группы факторов;</w:t>
      </w:r>
    </w:p>
    <w:p w:rsidR="006157C8" w:rsidRDefault="006157C8" w:rsidP="006157C8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макрофакторы</w:t>
      </w:r>
      <w:proofErr w:type="spellEnd"/>
      <w:r>
        <w:rPr>
          <w:color w:val="000000"/>
          <w:sz w:val="28"/>
          <w:szCs w:val="28"/>
        </w:rPr>
        <w:t> –  к которым относят страну, этнос, общество, которые влияют на людей через две другие группы факторов;</w:t>
      </w:r>
    </w:p>
    <w:p w:rsidR="006157C8" w:rsidRDefault="006157C8" w:rsidP="006157C8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мезофакторы</w:t>
      </w:r>
      <w:proofErr w:type="spellEnd"/>
      <w:r>
        <w:rPr>
          <w:color w:val="000000"/>
          <w:sz w:val="28"/>
          <w:szCs w:val="28"/>
        </w:rPr>
        <w:t>, условия социализа</w:t>
      </w:r>
      <w:bookmarkStart w:id="0" w:name="_GoBack"/>
      <w:bookmarkEnd w:id="0"/>
      <w:r>
        <w:rPr>
          <w:color w:val="000000"/>
          <w:sz w:val="28"/>
          <w:szCs w:val="28"/>
        </w:rPr>
        <w:t>ции больших групп людей, выделяемых: по месту и типу поселения, по принадлежности к аудитории тех или иных СМИ, по принадлежности к тем или иным субкультурам. Влияют на социализацию как прямо, так и опосредовано, через четвертую группу факторов;</w:t>
      </w:r>
    </w:p>
    <w:p w:rsidR="006157C8" w:rsidRDefault="006157C8" w:rsidP="006157C8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микрофакторы</w:t>
      </w:r>
      <w:proofErr w:type="spellEnd"/>
      <w:r>
        <w:rPr>
          <w:color w:val="000000"/>
          <w:sz w:val="28"/>
          <w:szCs w:val="28"/>
        </w:rPr>
        <w:t> – семья, соседи, микросоциум, группы сверстников, воспитательные, государственные, религиозные и общественные организации.</w:t>
      </w:r>
    </w:p>
    <w:p w:rsidR="006157C8" w:rsidRDefault="006157C8" w:rsidP="006157C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Факторы среды </w:t>
      </w:r>
      <w:r>
        <w:rPr>
          <w:color w:val="000000"/>
          <w:sz w:val="28"/>
          <w:szCs w:val="28"/>
        </w:rPr>
        <w:t>— это все то, что непосредственно и опосредованно воздействует на человека: семья, детский сад, школа, школьный коллек</w:t>
      </w:r>
      <w:r>
        <w:rPr>
          <w:color w:val="000000"/>
          <w:sz w:val="28"/>
          <w:szCs w:val="28"/>
        </w:rPr>
        <w:softHyphen/>
        <w:t>тив, личность учителя, неформальные молодежные объединения, в ко</w:t>
      </w:r>
      <w:r>
        <w:rPr>
          <w:color w:val="000000"/>
          <w:sz w:val="28"/>
          <w:szCs w:val="28"/>
        </w:rPr>
        <w:softHyphen/>
        <w:t>торые входит ребенок, средства массовой информации, книги и пр.</w:t>
      </w:r>
    </w:p>
    <w:p w:rsidR="006157C8" w:rsidRDefault="006157C8" w:rsidP="006157C8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А.В.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Мудрик выделяет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следующие группы факторов социализации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макрофакторы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мезофакторы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микрофакторы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и субъективные факторы. </w:t>
      </w:r>
    </w:p>
    <w:p w:rsidR="006157C8" w:rsidRDefault="006157C8" w:rsidP="006157C8">
      <w:pPr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макрофакторами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учёный подразумевает общество в целом как определённую социально-политическую и идеологическую систему, в рамках которой протекает весь процесс жизнедеятельности личности.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Мезофакторы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регион и его социально-демографические и национально-культурные особенности.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Микрофакторы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непосредственную среду жизнедеятельности.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субъективным факторам автор относит особенности ребёнка, которые связаны, с одной стороны, с его природными задатками, с другой - с уже сложившимися у него индивидуальными чертами.</w:t>
      </w:r>
    </w:p>
    <w:p w:rsidR="006157C8" w:rsidRDefault="006157C8" w:rsidP="006157C8">
      <w:pPr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факторов выделяют так же разные способы социализации:</w:t>
      </w:r>
    </w:p>
    <w:p w:rsidR="006157C8" w:rsidRDefault="006157C8" w:rsidP="006157C8">
      <w:pPr>
        <w:pStyle w:val="a4"/>
        <w:numPr>
          <w:ilvl w:val="0"/>
          <w:numId w:val="2"/>
        </w:numPr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институциональный - через институты общества;</w:t>
      </w:r>
    </w:p>
    <w:p w:rsidR="006157C8" w:rsidRDefault="006157C8" w:rsidP="006157C8">
      <w:pPr>
        <w:pStyle w:val="a4"/>
        <w:numPr>
          <w:ilvl w:val="0"/>
          <w:numId w:val="2"/>
        </w:numPr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традиционный - через семью и ближайшее социальное окружение;</w:t>
      </w:r>
    </w:p>
    <w:p w:rsidR="006157C8" w:rsidRDefault="006157C8" w:rsidP="006157C8">
      <w:pPr>
        <w:pStyle w:val="a4"/>
        <w:numPr>
          <w:ilvl w:val="0"/>
          <w:numId w:val="2"/>
        </w:numPr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стилизованный - через возрастную субкультуру;</w:t>
      </w:r>
    </w:p>
    <w:p w:rsidR="006157C8" w:rsidRDefault="006157C8" w:rsidP="006157C8">
      <w:pPr>
        <w:pStyle w:val="a4"/>
        <w:numPr>
          <w:ilvl w:val="0"/>
          <w:numId w:val="2"/>
        </w:numPr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межличностный - через значимых лиц;</w:t>
      </w:r>
    </w:p>
    <w:p w:rsidR="006157C8" w:rsidRDefault="006157C8" w:rsidP="006157C8">
      <w:pPr>
        <w:pStyle w:val="a4"/>
        <w:numPr>
          <w:ilvl w:val="0"/>
          <w:numId w:val="2"/>
        </w:numPr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рефлексивный - индивидуально пережитый и осознанный опыт.</w:t>
      </w:r>
    </w:p>
    <w:p w:rsidR="006157C8" w:rsidRDefault="006157C8" w:rsidP="006157C8">
      <w:pPr>
        <w:spacing w:after="300" w:line="360" w:lineRule="auto"/>
        <w:ind w:firstLine="851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Каждый из способов имеет свой механизм реализации. Институциональный способ реализуется через систему общественного воспитания (в первую очередь, это детский сад, школа, внешкольные учреждения, детские и юношеские организации, средства массовой информации). В основу данного способа положено, по мнению А.В. Мудрика, подражание. Для традиционного способа, считает автор, характерно восприятие господствующих стереотипов поведения на неосознанном уровне. Стилизованный способ осуществляет своё воздействие на личность посредством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референтной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группы. Межличностный способ опирается на идентификацию с конкретным человеком, рефлексивный - на осознание и переживание человеком той реальности, в которой он живёт, своего места в ней и себя самого как такового, т.е. на рефлексию, внутренний диалог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 [8,</w:t>
      </w:r>
      <w:r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>29]</w:t>
      </w:r>
    </w:p>
    <w:p w:rsidR="006157C8" w:rsidRDefault="006157C8" w:rsidP="006157C8">
      <w:pPr>
        <w:spacing w:after="300" w:line="36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Бронфенбреннер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выделяет четыре группы таких факторов, вли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яющих на социализацию человека. К ним относятся: микросреда — это то,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непосредственно окружает человека с самого рождения и оказывает наиболее существенное влияние на его развитие (она, в частности, включает: семью, родителей, условия жизни, игрушки, книги, которые он читает и пр.);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мезосистема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складывающиеся вза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имоотношения между различными жизненными областями, опреде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ляющими и существенно влияющими на действенность воспитания (к ним относятся, например, школа и семья; объединения, в которые вхо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дят члены семьи; среда семьи и улицы, где дети проводят свое время и др.);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экзосистема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это общественные институты, органы власти, административные учреждения и т.д. (они опосредованно влияют на социальное развитие и воспитание ребенка); макросистема — это нормы культуры и субкультуры, мировоззренческие и идеологичес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кие позиции, господствующие в обществе (она выступает норматив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ным регулятором воспитывающей системы человека в среде жизнеде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ятельности)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157C8" w:rsidRDefault="006157C8" w:rsidP="006157C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педагогики особое внимание удалятся раскрытию влияния на социализацию ребенка, таких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как факторов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семья и различные образовательные учреждения. Например, Голованова НФ описывает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семью 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самый ранний институт социализации, значение которого сохраняется для человека на всю жизнь. Ее роль уникальна и незаменима, особенно в раннем и дошкольном детстве, в пору "первичной социализации". Неслучайно дети, выросшие без семьи, в детском доме или школе-интернате, даже живущие в определенном комфорте и достаточно материально обеспеченные, все равно оказываются плохо социализированными. В 16-18 лет, выходя в самостоятельную жизнь, многие из них не умеют жить автономно, своей семьей, не умеют решать самые простые бытовые проблемы, боятся самостоятельного выполнения своих социальных обязанностей, часто вообще их не осознают, а инфантильно ждут от окружающих привычной опеки.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 Семья влияет на формирование психологического пола ребенка: он усваивает атрибуты своего пола, "считывая" их в реальных образцах "женского" и "мужского" поведения членов семьи. Интересно,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исследуя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социальный опыт детей, можно обнаружить своеобразные "линии матери" и "линии отца". "Линия матери" проецирует опыт детей на "мир людей": создает базовые отношения для таких нравственных качеств, как доброта, внимание к слабым и старым, терпение, снисходительность к недостаткам других людей, любовь к ближним. "Линия отца" активнее проецирует социальный опыт детей на "мир вещей": вносит ценности дисциплины, порядка, но вместе с тем и ценности состязательности, стремления к первенству, к борьбе и преодолению, обязательности и ответственности.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    Родители оказывают серьезное влияние на становление психологического пола ребенка и своим отношением к нему. Мать чаще относится к детям обоего пола одинаково, особенно в первые три года их жизни, а отец дифференцирует свое отношение сразу: к сыну - как к будущему мужчине, к дочери - как к будущей женщине.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 В семье формируются фундаментальные ценностные ориентации человека, стиль его жизни. Действие семьи как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микрофактора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социализации определяется тем социальным пространством, которое она создает. 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семьи с его непритязательными повседневностями необычайно богат и разнообразен. Он дает возможность ребенку почувствовать и осознать самые разные стороны жизни, от бытовых забот до высоких гражданских порывов. Именно близкие люди демонстрируют самые значимые для него поступки, отно</w:t>
      </w:r>
      <w:r>
        <w:rPr>
          <w:color w:val="000000"/>
          <w:sz w:val="28"/>
          <w:szCs w:val="28"/>
        </w:rPr>
        <w:softHyphen/>
        <w:t>шения, потому что все происходящее в семье дети воспринимают как относяще</w:t>
      </w:r>
      <w:r>
        <w:rPr>
          <w:color w:val="000000"/>
          <w:sz w:val="28"/>
          <w:szCs w:val="28"/>
        </w:rPr>
        <w:softHyphen/>
        <w:t>еся лично к ним самим. Переживание ребенком своих отношений в семье (даже еще не полностью осознаваемых) становится моделью его будущих отношений с другими людьми</w:t>
      </w:r>
      <w:r>
        <w:rPr>
          <w:color w:val="000000"/>
          <w:sz w:val="21"/>
          <w:szCs w:val="21"/>
        </w:rPr>
        <w:t xml:space="preserve">. 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Огромную роль в формировании у ребенка отношения к себе, чувства </w:t>
      </w:r>
      <w:proofErr w:type="spellStart"/>
      <w:r>
        <w:rPr>
          <w:color w:val="000000"/>
          <w:sz w:val="28"/>
          <w:szCs w:val="28"/>
        </w:rPr>
        <w:t>само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ценности</w:t>
      </w:r>
      <w:proofErr w:type="spellEnd"/>
      <w:r>
        <w:rPr>
          <w:color w:val="000000"/>
          <w:sz w:val="28"/>
          <w:szCs w:val="28"/>
        </w:rPr>
        <w:t xml:space="preserve"> играет особый эмоциональный микроклимат семьи. Ещё одна важная роль семейного воспитания – влияние на ценностные ориентации ребенка, его мировоззрение в целом, поведение в разных сферах </w:t>
      </w:r>
      <w:r>
        <w:rPr>
          <w:color w:val="000000"/>
          <w:sz w:val="28"/>
          <w:szCs w:val="28"/>
        </w:rPr>
        <w:lastRenderedPageBreak/>
        <w:t>общественной жизни. Именно пример родителей, их личные качества во многом определяют результативность воспитательной функции семьи.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Успешность социализации ребенка в семье зависит от воспитательного потенциала семьи. Он представляет собой комплекс условий и средств, определяющих педагогические возможности семьи. Этот комплекс объединяет материальные и бытовые условия, основные периоды развития, численность и структуру семьи, развитость семейного коллектива и характер отношений между его членами, социально-демографические особенности семьи. 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Приведенные выше обоснования различных исследователей значимости семьи в процессе развития и социализации ребенка ни коем образом не должны преуменьшать роль образовательных учреждений обеспечивающих, во взаимодействии с семейным воспитанием, более полную и успешную социализацию.  Специфика детского </w:t>
      </w:r>
      <w:r>
        <w:rPr>
          <w:color w:val="000000"/>
          <w:sz w:val="28"/>
          <w:szCs w:val="28"/>
        </w:rPr>
        <w:t>развития требует</w:t>
      </w:r>
      <w:r>
        <w:rPr>
          <w:color w:val="000000"/>
          <w:sz w:val="28"/>
          <w:szCs w:val="28"/>
        </w:rPr>
        <w:t xml:space="preserve"> специальной организации деятельности взрослых – комплексного сопровождения социального становления ребенка, в том числе в дошкольных учреждениях.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Организованный процесс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включения ребенка </w:t>
      </w:r>
      <w:r>
        <w:rPr>
          <w:color w:val="000000"/>
          <w:sz w:val="28"/>
          <w:szCs w:val="28"/>
        </w:rPr>
        <w:t>в социальную действительность</w:t>
      </w:r>
      <w:r>
        <w:rPr>
          <w:color w:val="000000"/>
          <w:sz w:val="28"/>
          <w:szCs w:val="28"/>
        </w:rPr>
        <w:t xml:space="preserve"> в дошкольном образовательном учреждении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рассматривать как одно из условий, необходимых для полноценной социализации ребенка.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социального воспитания дошкольников в дошкольном образовательном учреждении должен быть целостным, обеспечивать непрерывность и преемственность этапов </w:t>
      </w:r>
      <w:r>
        <w:rPr>
          <w:color w:val="000000"/>
          <w:sz w:val="28"/>
          <w:szCs w:val="28"/>
        </w:rPr>
        <w:t>социализации</w:t>
      </w:r>
      <w:r>
        <w:rPr>
          <w:color w:val="000000"/>
          <w:sz w:val="28"/>
          <w:szCs w:val="28"/>
        </w:rPr>
        <w:t>, так как всестороннее и гармоническое развитие личности ребенка может быть обеспечено комплексным воздействием на все стороны его активности.</w:t>
      </w:r>
    </w:p>
    <w:p w:rsidR="006157C8" w:rsidRDefault="006157C8" w:rsidP="006157C8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Целью социального воспитания в данном случае будет готовность ребенка к вхождению в социум. Под готовностью в этом </w:t>
      </w:r>
      <w:r>
        <w:rPr>
          <w:color w:val="000000"/>
          <w:sz w:val="28"/>
          <w:szCs w:val="28"/>
        </w:rPr>
        <w:t>контексте подразумеваются</w:t>
      </w:r>
      <w:r>
        <w:rPr>
          <w:color w:val="000000"/>
          <w:sz w:val="28"/>
          <w:szCs w:val="28"/>
        </w:rPr>
        <w:t xml:space="preserve"> желания, способности и умения ребенка.</w:t>
      </w:r>
    </w:p>
    <w:p w:rsidR="006157C8" w:rsidRPr="006157C8" w:rsidRDefault="006157C8" w:rsidP="006157C8">
      <w:pPr>
        <w:pStyle w:val="a3"/>
        <w:shd w:val="clear" w:color="auto" w:fill="FFFFFF"/>
        <w:spacing w:before="0" w:beforeAutospacing="0" w:after="27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необходимо уделять пространству развития детства: поскольку в детском возрасте закладываются не только базовые психические качества, позволяющие ребенку как субъекту и личности быть успешным в основных видах деятельности, но и ключевые компетенции, которые являются основой успешности человека во взаимодействии с окружающим миром, залогом его полноценной социализации</w:t>
      </w:r>
      <w:r>
        <w:rPr>
          <w:color w:val="000000"/>
          <w:sz w:val="28"/>
          <w:szCs w:val="28"/>
        </w:rPr>
        <w:t>.</w:t>
      </w:r>
    </w:p>
    <w:p w:rsidR="006157C8" w:rsidRDefault="006157C8" w:rsidP="006157C8">
      <w:pPr>
        <w:shd w:val="clear" w:color="auto" w:fill="FFFFFF"/>
        <w:spacing w:after="27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Важным условием для полноценной социализации ребенка-дошкольником является вовлечение родителей в учебно-воспитательный процесс ДОУ.</w:t>
      </w:r>
    </w:p>
    <w:p w:rsidR="006157C8" w:rsidRDefault="006157C8" w:rsidP="006157C8">
      <w:pPr>
        <w:shd w:val="clear" w:color="auto" w:fill="FFFFFF"/>
        <w:spacing w:after="27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 в ДОУ, в настоящее время несет в себе множество функций, из которых приоритетной является социальная функция. Социальная функция предполагает вовлечение в процесс воспитания всего социального окружения детей, психологическую поддержку, как детям, так и родителям, компенсацию негативных влияний социальной среды.</w:t>
      </w:r>
    </w:p>
    <w:p w:rsidR="006157C8" w:rsidRDefault="006157C8" w:rsidP="006157C8">
      <w:pPr>
        <w:pStyle w:val="a3"/>
        <w:shd w:val="clear" w:color="auto" w:fill="FFFFFF"/>
        <w:spacing w:before="0" w:beforeAutospacing="0" w:after="27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и детский сад способны обеспечивать полноту и целостность социально-педагогической и культурно-образовательной среды для жизни, развития и самореализации ребенка. Успех влияния на социализацию ребенка в гармоничном дополнении друг друга</w:t>
      </w:r>
    </w:p>
    <w:p w:rsidR="00693831" w:rsidRDefault="00693831"/>
    <w:sectPr w:rsidR="0069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8368B"/>
    <w:multiLevelType w:val="hybridMultilevel"/>
    <w:tmpl w:val="3F92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D4CCC"/>
    <w:multiLevelType w:val="hybridMultilevel"/>
    <w:tmpl w:val="C0E4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C8"/>
    <w:rsid w:val="006157C8"/>
    <w:rsid w:val="006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5016"/>
  <w15:chartTrackingRefBased/>
  <w15:docId w15:val="{BA2CDC0E-CED2-483A-A80C-A914E87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157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2018-04-17T08:12:00Z</dcterms:created>
  <dcterms:modified xsi:type="dcterms:W3CDTF">2018-04-17T08:14:00Z</dcterms:modified>
</cp:coreProperties>
</file>