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B8" w:rsidRPr="000513B8" w:rsidRDefault="000513B8" w:rsidP="000513B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0513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 «Сетевое взаимодействие Школы </w:t>
      </w:r>
      <w:r w:rsidRPr="0005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 многофункционального центра учения компетенций местного сообщества</w:t>
      </w:r>
      <w:r w:rsidRPr="000513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рамках </w:t>
      </w:r>
      <w:proofErr w:type="spellStart"/>
      <w:r w:rsidRPr="000513B8">
        <w:rPr>
          <w:rFonts w:ascii="Times New Roman" w:eastAsia="Times New Roman" w:hAnsi="Times New Roman"/>
          <w:b/>
          <w:sz w:val="24"/>
          <w:szCs w:val="24"/>
          <w:lang w:eastAsia="ru-RU"/>
        </w:rPr>
        <w:t>предпрофильной</w:t>
      </w:r>
      <w:proofErr w:type="spellEnd"/>
      <w:r w:rsidRPr="000513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подготовки и профильного обучения»</w:t>
      </w:r>
    </w:p>
    <w:p w:rsidR="000513B8" w:rsidRPr="000513B8" w:rsidRDefault="000513B8" w:rsidP="000513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требованием к системе российского образования, заявленным основных программных документах развития отечественного образования</w:t>
      </w:r>
      <w:r w:rsidRPr="000513B8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Федеральный закон «Об образовании в Российской Федерации»</w:t>
      </w:r>
      <w:r w:rsidRPr="000513B8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Комплексный план модернизации региональных систем развития образования, Национальная образовательная инициатива «Наша новая школа» и др.), национальной стратегии действий в интересах детей на 2012-2017 гг., а также ряд постановлений Правительства и решений Коллегии Министерства образования и науки РФ относят к числу приоритетных направлений модернизации российского образования совершенствование профильного обучения, является ориентация образования не только на освоение школьником определенной суммы знаний, но и на развитие его личности, познавательных и созидательных способностей, а также способности к успешной социализации в обществе и активной адаптации на рынке труда. Решение этих задач должно стать органичной составляющей педагогической деятельности, интегрированной в общий процесс обучения и развития.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Профильное обучение в старших классах, как указывается в этих же основных программных документах, ориентировано на индивидуализацию обучения и социализацию обучающихся, в том числе с учетом реальных потребностей рынка труда, отработки гибкой системы профилей и кооперации основного общего образования и среднего общего образования с учреждениями начального, среднего и высшего профессионального образования.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основного фактора обновления профессионального образования выступают запросы развития экономики и социальной сферы, науки, техники, технологий федерального и региональных рынков труда, а также перспективы их развития. В основных программных документах подчеркивается роль профессиональной ориентации, как условия технологической поддержки молодежи, помощи в выявлении профессиональных интересов, склонностей, определения реальных возможностей в освоении той или иной профессии.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можно утверждать, что указанные цели, задачи профильного обучения и профессионального образования взаимосвязаны и взаимообусловлены. В то же время наблюдается некоторое противоречие, </w:t>
      </w:r>
      <w:r w:rsidRPr="000513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рассогласование</w:t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целей и задач профильного обучения с его содержанием, что выражается в его предметной, </w:t>
      </w:r>
      <w:proofErr w:type="spellStart"/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знаниевой</w:t>
      </w:r>
      <w:proofErr w:type="spellEnd"/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проблема, каким образом, при опоре на предметность, обеспечить гибкость системы и индивидуальную траекторию будущему выпускнику Школы?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аспект этой проблемы - как обеспечить социализацию и индивидуализацию школьников, если учебные практики, проекты, исследовательская деятельность будут включать всего лишь 70 учебных часов за два года обучения.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задача совмещения ориентации образования в Школе на общекультурную подготовку и сохранения его общенаучного потенциала и приобретения обучающимися ключевых компетенций, опыта самостоятельной деятельности.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мы сосредоточимся на поддержании практико-ориентированной составляющей в профильном обучении.</w:t>
      </w: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системы образования с социумом можно описать, опираясь на понятие «социальное партнерство». Социальное партнерство в широком смысле — это такая совместно распределенная деятельность социальных элементов – представителей различных социальных групп, результатом которой являются позитивные эффекты, </w:t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принимаемые всеми участниками этой деятельности. Социальное партнерство в образовании – примета нового времени. </w:t>
      </w: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социального партнерства в образовании стали обсуждаться и признаваться в современной России всего несколько лет назад. Сегодня для решения одной из задач Программы развития Школы «развитие инновационной деятельности посредством взаимодействия с ВУЗами» необходимо, чтобы образовательное учреждение стало открытой социально-педагогической, расширяющей и укрепляющей сотрудничество со всеми социальными институтами структурой. </w:t>
      </w: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</w:t>
      </w:r>
      <w:r w:rsidRPr="000513B8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взаимодействие, основанное на добровольном объединении ресурсов, является более перспективным направлением повышения качества образования.</w:t>
      </w: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социальное партнёрство, предполагающее сетевое взаимодействие Школы с различными субъектами многофункционального пространства, позволяет выявить неиспользованные информационные, методические, кадровые ресурсы, объединить возможности микросоциума в решении проблем социализации подрастающего поколения, транслировать накопленный опыт выполнения одной из задач Программы развития Школы.</w:t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Цель.</w:t>
      </w:r>
      <w:r w:rsidRPr="00051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Разработать и внедрить Модель сетевой организации </w:t>
      </w:r>
      <w:proofErr w:type="spellStart"/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0513B8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"/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и </w:t>
      </w:r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профильного обучения на основе Школы (как многофункционального центра учения компетенций местного сообщества)</w:t>
      </w:r>
      <w:r w:rsidRPr="000513B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объединяющей интеллектуальные, информационные и материальные ресурсы учреждений общего, дополнительного, профессионального образования и работодателей.</w:t>
      </w: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Задачи проекта</w:t>
      </w:r>
    </w:p>
    <w:p w:rsidR="000513B8" w:rsidRPr="000513B8" w:rsidRDefault="000513B8" w:rsidP="000513B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>Создать выбор возможностей для реализации индивидуальных учебных планов, для удовлетворения интересов, склонностей и способ</w:t>
      </w:r>
      <w:bookmarkStart w:id="0" w:name="_GoBack"/>
      <w:bookmarkEnd w:id="0"/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>ностей обучающихся с учетом их образовательных и профессиональных запросов, соответствующих </w:t>
      </w:r>
      <w:r w:rsidRPr="000513B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потребностям рынка труда</w:t>
      </w: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 xml:space="preserve"> в компетентных кадрах. </w:t>
      </w:r>
    </w:p>
    <w:p w:rsidR="000513B8" w:rsidRPr="000513B8" w:rsidRDefault="000513B8" w:rsidP="000513B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>Обеспечить через учебные задачи на каждом этапе обучения различные виды деятельности, социальные практики, профессиональные пробы и способствовать самоопределению старшеклассников, приобретению ими социальных компетенций.</w:t>
      </w:r>
    </w:p>
    <w:p w:rsidR="000513B8" w:rsidRPr="000513B8" w:rsidRDefault="000513B8" w:rsidP="000513B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>Приобщать обучающихся к национальным ценностям культуры и превращения образования в реальный механизм общественного и культурного развития города, округа в целом.</w:t>
      </w:r>
    </w:p>
    <w:p w:rsidR="000513B8" w:rsidRPr="000513B8" w:rsidRDefault="000513B8" w:rsidP="000513B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Теоретико-методологические и методические положения профильного обучения заложены, обоснованы и развиты в работах А.В. Баранникова, В.А. </w:t>
      </w:r>
      <w:proofErr w:type="spellStart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Болотова</w:t>
      </w:r>
      <w:proofErr w:type="spellEnd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В.И. </w:t>
      </w:r>
      <w:proofErr w:type="spellStart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Блинова</w:t>
      </w:r>
      <w:proofErr w:type="spellEnd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А.Г. </w:t>
      </w:r>
      <w:proofErr w:type="spellStart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Каспржака</w:t>
      </w:r>
      <w:proofErr w:type="spellEnd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А.А. Кузнецова, А.Г. </w:t>
      </w:r>
      <w:proofErr w:type="spellStart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Капустняка</w:t>
      </w:r>
      <w:proofErr w:type="spellEnd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И.И. Колисниченко, К.Г. Митрофанова, Т.Г. Новиковой, М.А. </w:t>
      </w:r>
      <w:proofErr w:type="spellStart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Пинской</w:t>
      </w:r>
      <w:proofErr w:type="spellEnd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А.А. </w:t>
      </w:r>
      <w:proofErr w:type="spellStart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Пинского</w:t>
      </w:r>
      <w:proofErr w:type="spellEnd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Е.Л. </w:t>
      </w:r>
      <w:proofErr w:type="spellStart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Рачевского</w:t>
      </w:r>
      <w:proofErr w:type="spellEnd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М.В. Рыжакова, С.В. </w:t>
      </w:r>
      <w:proofErr w:type="spellStart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Суматохина</w:t>
      </w:r>
      <w:proofErr w:type="spellEnd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В.М. Филиппова, И.Д. Фрумина, И.Д. </w:t>
      </w:r>
      <w:proofErr w:type="spellStart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Чечель</w:t>
      </w:r>
      <w:proofErr w:type="spellEnd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 Проблемы управления введением и распространением </w:t>
      </w:r>
      <w:proofErr w:type="spellStart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предпрофильной</w:t>
      </w:r>
      <w:proofErr w:type="spellEnd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подготовки и профильного обучения в системе общего образования рассмотрены в трудах В.И. </w:t>
      </w:r>
      <w:proofErr w:type="spellStart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Блинова</w:t>
      </w:r>
      <w:proofErr w:type="spellEnd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Е.В. Ворониной, С.С. Кравцова, А.М. Моисеева, Н.В. </w:t>
      </w:r>
      <w:proofErr w:type="spellStart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Немовой</w:t>
      </w:r>
      <w:proofErr w:type="spellEnd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А.А. </w:t>
      </w:r>
      <w:proofErr w:type="spellStart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Пинского</w:t>
      </w:r>
      <w:proofErr w:type="spellEnd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Н.Ф. Родичева, И.С. Сергеева, И.Д. </w:t>
      </w:r>
      <w:proofErr w:type="spellStart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Чечель</w:t>
      </w:r>
      <w:proofErr w:type="spellEnd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С.Н. Чистяковой и др. </w:t>
      </w: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данном проекте дифференциация обучения рассматривается как средство построения «индивидуального образовательного маршрута» (В.В. </w:t>
      </w:r>
      <w:proofErr w:type="spellStart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Башев</w:t>
      </w:r>
      <w:proofErr w:type="spellEnd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В.А. </w:t>
      </w:r>
      <w:proofErr w:type="spellStart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Болотов</w:t>
      </w:r>
      <w:proofErr w:type="spellEnd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А.Г. </w:t>
      </w:r>
      <w:proofErr w:type="spellStart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Каспаржак</w:t>
      </w:r>
      <w:proofErr w:type="spellEnd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К.Г. Митрофанов, А.А. </w:t>
      </w:r>
      <w:proofErr w:type="spellStart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Пинский</w:t>
      </w:r>
      <w:proofErr w:type="spellEnd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К.Н. Поливанова, Е.Л. </w:t>
      </w:r>
      <w:proofErr w:type="spellStart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Рачевский</w:t>
      </w:r>
      <w:proofErr w:type="spellEnd"/>
      <w:r w:rsidRPr="00051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А.В. Хуторской, И.Д. Фрумин и др.).</w:t>
      </w: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Основные принципы:</w:t>
      </w:r>
    </w:p>
    <w:p w:rsidR="000513B8" w:rsidRPr="000513B8" w:rsidRDefault="000513B8" w:rsidP="000513B8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адекватности и перспективности, что означает необходимость учитывать реальные возможности и потребности обучающихся, их возрастные особенности, а также видеть перспективы дальнейшего обучения и развития с учетом жизненных планов детей; </w:t>
      </w:r>
    </w:p>
    <w:p w:rsidR="000513B8" w:rsidRPr="000513B8" w:rsidRDefault="000513B8" w:rsidP="000513B8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 xml:space="preserve">инвариантности и вариативности, который подразумевает обеспечение необходимого уровня базовой подготовки обучающихся и вариативности в соответствии с выбором обучающихся; вариативность определяется личностными интересами, потребностями и возможностями детей, а также потенциалом социального окружения и внутренней среды Школы; </w:t>
      </w:r>
    </w:p>
    <w:p w:rsidR="000513B8" w:rsidRPr="000513B8" w:rsidRDefault="000513B8" w:rsidP="000513B8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интеграции и дифференциации, который предполагает согласованность целей, содержания, форм, методов обучения на уровне класса, уровне образования (основного общего образования, среднего общего образования), Школы в целом, установление связей между образовательными областями и учебными дисциплинами, реализующими </w:t>
      </w:r>
      <w:proofErr w:type="spellStart"/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>предпрофильную</w:t>
      </w:r>
      <w:proofErr w:type="spellEnd"/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подготовку и профильное обучение, между Программами общего, дополнительного, начального профессионального образования; </w:t>
      </w:r>
    </w:p>
    <w:p w:rsidR="000513B8" w:rsidRPr="000513B8" w:rsidRDefault="000513B8" w:rsidP="000513B8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>мотивации и стимулирования, означающий, с одной стороны, необходимость учитывать мотивы, ценностные ориентации, направленность деятельности детей;</w:t>
      </w:r>
    </w:p>
    <w:p w:rsidR="000513B8" w:rsidRPr="000513B8" w:rsidRDefault="000513B8" w:rsidP="000513B8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0513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сетевого взаимодействия можно представить в виде модели: </w:t>
      </w:r>
    </w:p>
    <w:p w:rsidR="000513B8" w:rsidRPr="000513B8" w:rsidRDefault="000513B8" w:rsidP="00051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51D6D8" wp14:editId="56ABFF39">
                <wp:simplePos x="0" y="0"/>
                <wp:positionH relativeFrom="column">
                  <wp:posOffset>382905</wp:posOffset>
                </wp:positionH>
                <wp:positionV relativeFrom="paragraph">
                  <wp:posOffset>100330</wp:posOffset>
                </wp:positionV>
                <wp:extent cx="5755005" cy="1576070"/>
                <wp:effectExtent l="24765" t="27940" r="1905" b="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1576070"/>
                          <a:chOff x="1032" y="2160"/>
                          <a:chExt cx="9063" cy="2482"/>
                        </a:xfrm>
                      </wpg:grpSpPr>
                      <wps:wsp>
                        <wps:cNvPr id="17" name="Поле 54"/>
                        <wps:cNvSpPr txBox="1">
                          <a:spLocks noChangeArrowheads="1"/>
                        </wps:cNvSpPr>
                        <wps:spPr bwMode="auto">
                          <a:xfrm>
                            <a:off x="2262" y="2160"/>
                            <a:ext cx="2004" cy="43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513B8" w:rsidRPr="00F81C1A" w:rsidRDefault="000513B8" w:rsidP="000513B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  <w:r w:rsidRPr="00F81C1A">
                                <w:rPr>
                                  <w:rFonts w:ascii="Times New Roman" w:hAnsi="Times New Roman" w:cs="Times New Roman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  <w:t>СЕТЬ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032" y="2296"/>
                            <a:ext cx="9063" cy="2346"/>
                            <a:chOff x="1032" y="2296"/>
                            <a:chExt cx="9063" cy="2346"/>
                          </a:xfrm>
                        </wpg:grpSpPr>
                        <wps:wsp>
                          <wps:cNvPr id="19" name="Поле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0" y="3376"/>
                              <a:ext cx="3374" cy="126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13B8" w:rsidRPr="00B13D2D" w:rsidRDefault="000513B8" w:rsidP="000513B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B13D2D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ДОВЕРИЕ</w:t>
                                </w:r>
                              </w:p>
                              <w:p w:rsidR="000513B8" w:rsidRPr="00B13D2D" w:rsidRDefault="000513B8" w:rsidP="000513B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B13D2D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Ответственность</w:t>
                                </w:r>
                              </w:p>
                              <w:p w:rsidR="000513B8" w:rsidRPr="00B13D2D" w:rsidRDefault="000513B8" w:rsidP="000513B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B13D2D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Инициатива</w:t>
                                </w:r>
                              </w:p>
                              <w:p w:rsidR="000513B8" w:rsidRPr="00B13D2D" w:rsidRDefault="000513B8" w:rsidP="000513B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B13D2D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Быстрая обратная связь</w:t>
                                </w:r>
                              </w:p>
                              <w:p w:rsidR="000513B8" w:rsidRPr="00B13D2D" w:rsidRDefault="000513B8" w:rsidP="000513B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B13D2D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Терпение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Поле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5" y="2296"/>
                              <a:ext cx="3880" cy="214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13B8" w:rsidRPr="00B13D2D" w:rsidRDefault="000513B8" w:rsidP="000513B8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B13D2D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Принципы сети:</w:t>
                                </w:r>
                              </w:p>
                              <w:p w:rsidR="000513B8" w:rsidRPr="00B13D2D" w:rsidRDefault="000513B8" w:rsidP="000513B8">
                                <w:pPr>
                                  <w:spacing w:after="0" w:line="36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B13D2D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- объединяющее назначение;</w:t>
                                </w:r>
                              </w:p>
                              <w:p w:rsidR="000513B8" w:rsidRPr="00B13D2D" w:rsidRDefault="000513B8" w:rsidP="000513B8">
                                <w:pPr>
                                  <w:spacing w:after="0" w:line="36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B13D2D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- независимость членов;</w:t>
                                </w:r>
                              </w:p>
                              <w:p w:rsidR="000513B8" w:rsidRPr="00B13D2D" w:rsidRDefault="000513B8" w:rsidP="000513B8">
                                <w:pPr>
                                  <w:spacing w:after="0" w:line="36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B13D2D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- добровольность связей;</w:t>
                                </w:r>
                              </w:p>
                              <w:p w:rsidR="000513B8" w:rsidRPr="00B13D2D" w:rsidRDefault="000513B8" w:rsidP="000513B8">
                                <w:pPr>
                                  <w:spacing w:after="0" w:line="36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B13D2D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- обилие лидеров;</w:t>
                                </w:r>
                              </w:p>
                              <w:p w:rsidR="000513B8" w:rsidRPr="00B13D2D" w:rsidRDefault="000513B8" w:rsidP="000513B8">
                                <w:pPr>
                                  <w:spacing w:after="0" w:line="36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B13D2D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- интегрированность уровней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Равнобедренный треугольник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1" y="2566"/>
                              <a:ext cx="978" cy="72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Поле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2" y="2716"/>
                              <a:ext cx="1496" cy="75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0513B8" w:rsidRPr="00F81C1A" w:rsidRDefault="000513B8" w:rsidP="000513B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F81C1A">
                                  <w:rPr>
                                    <w:rFonts w:ascii="Times New Roman" w:hAnsi="Times New Roman" w:cs="Times New Roman"/>
                                    <w:b/>
                                    <w:color w:val="0070C0"/>
                                    <w:sz w:val="20"/>
                                    <w:szCs w:val="20"/>
                                  </w:rPr>
                                  <w:t>ДЕЛО</w:t>
                                </w:r>
                              </w:p>
                              <w:p w:rsidR="000513B8" w:rsidRPr="00F81C1A" w:rsidRDefault="000513B8" w:rsidP="000513B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F81C1A">
                                  <w:rPr>
                                    <w:rFonts w:ascii="Times New Roman" w:hAnsi="Times New Roman" w:cs="Times New Roman"/>
                                    <w:b/>
                                    <w:color w:val="0070C0"/>
                                    <w:sz w:val="20"/>
                                    <w:szCs w:val="20"/>
                                  </w:rPr>
                                  <w:t>цель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Поле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0" y="2566"/>
                              <a:ext cx="2145" cy="87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13B8" w:rsidRPr="00F81C1A" w:rsidRDefault="000513B8" w:rsidP="000513B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F81C1A">
                                  <w:rPr>
                                    <w:rFonts w:ascii="Times New Roman" w:hAnsi="Times New Roman" w:cs="Times New Roman"/>
                                    <w:b/>
                                    <w:color w:val="0070C0"/>
                                    <w:sz w:val="20"/>
                                    <w:szCs w:val="20"/>
                                  </w:rPr>
                                  <w:t>КК</w:t>
                                </w:r>
                              </w:p>
                              <w:p w:rsidR="000513B8" w:rsidRPr="00F81C1A" w:rsidRDefault="000513B8" w:rsidP="000513B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F81C1A">
                                  <w:rPr>
                                    <w:rFonts w:ascii="Times New Roman" w:hAnsi="Times New Roman" w:cs="Times New Roman"/>
                                    <w:b/>
                                    <w:color w:val="0070C0"/>
                                    <w:sz w:val="20"/>
                                    <w:szCs w:val="20"/>
                                  </w:rPr>
                                  <w:t>(ключевые компетенции)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1D6D8" id="Группа 16" o:spid="_x0000_s1026" style="position:absolute;left:0;text-align:left;margin-left:30.15pt;margin-top:7.9pt;width:453.15pt;height:124.1pt;z-index:251659264" coordorigin="1032,2160" coordsize="9063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4" o:spid="_x0000_s1027" type="#_x0000_t202" style="position:absolute;left:2262;top:2160;width:2004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" fillcolor="white [3212]" strokecolor="white [3212]" strokeweight="3pt">
                  <v:shadow on="t" color="#1f3763 [1608]" opacity=".5" offset="1pt"/>
                  <v:textbox>
                    <w:txbxContent>
                      <w:p w:rsidR="000513B8" w:rsidRPr="00F81C1A" w:rsidRDefault="000513B8" w:rsidP="000513B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 w:rsidRPr="00F81C1A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0"/>
                            <w:szCs w:val="20"/>
                          </w:rPr>
                          <w:t>СЕТЬ</w:t>
                        </w:r>
                      </w:p>
                    </w:txbxContent>
                  </v:textbox>
                </v:shape>
                <v:group id="Group 19" o:spid="_x0000_s1028" style="position:absolute;left:1032;top:2296;width:9063;height:2346" coordorigin="1032,2296" coordsize="9063,2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Поле 49" o:spid="_x0000_s1029" type="#_x0000_t202" style="position:absolute;left:1520;top:3376;width:3374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  <v:textbox>
                      <w:txbxContent>
                        <w:p w:rsidR="000513B8" w:rsidRPr="00B13D2D" w:rsidRDefault="000513B8" w:rsidP="000513B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B13D2D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ДОВЕРИЕ</w:t>
                          </w:r>
                        </w:p>
                        <w:p w:rsidR="000513B8" w:rsidRPr="00B13D2D" w:rsidRDefault="000513B8" w:rsidP="000513B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B13D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Ответственность</w:t>
                          </w:r>
                        </w:p>
                        <w:p w:rsidR="000513B8" w:rsidRPr="00B13D2D" w:rsidRDefault="000513B8" w:rsidP="000513B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B13D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Инициатива</w:t>
                          </w:r>
                        </w:p>
                        <w:p w:rsidR="000513B8" w:rsidRPr="00B13D2D" w:rsidRDefault="000513B8" w:rsidP="000513B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B13D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Быстрая обратная связь</w:t>
                          </w:r>
                        </w:p>
                        <w:p w:rsidR="000513B8" w:rsidRPr="00B13D2D" w:rsidRDefault="000513B8" w:rsidP="000513B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B13D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Терпение</w:t>
                          </w:r>
                        </w:p>
                      </w:txbxContent>
                    </v:textbox>
                  </v:shape>
                  <v:shape id="Поле 50" o:spid="_x0000_s1030" type="#_x0000_t202" style="position:absolute;left:6215;top:2296;width:3880;height: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41l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" fillcolor="white [3201]" stroked="f" strokeweight=".5pt">
                    <v:textbox>
                      <w:txbxContent>
                        <w:p w:rsidR="000513B8" w:rsidRPr="00B13D2D" w:rsidRDefault="000513B8" w:rsidP="000513B8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B13D2D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Принципы сети:</w:t>
                          </w:r>
                        </w:p>
                        <w:p w:rsidR="000513B8" w:rsidRPr="00B13D2D" w:rsidRDefault="000513B8" w:rsidP="000513B8">
                          <w:pPr>
                            <w:spacing w:after="0" w:line="36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B13D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 объединяющее назначение;</w:t>
                          </w:r>
                        </w:p>
                        <w:p w:rsidR="000513B8" w:rsidRPr="00B13D2D" w:rsidRDefault="000513B8" w:rsidP="000513B8">
                          <w:pPr>
                            <w:spacing w:after="0" w:line="36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B13D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 независимость членов;</w:t>
                          </w:r>
                        </w:p>
                        <w:p w:rsidR="000513B8" w:rsidRPr="00B13D2D" w:rsidRDefault="000513B8" w:rsidP="000513B8">
                          <w:pPr>
                            <w:spacing w:after="0" w:line="36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B13D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 добровольность связей;</w:t>
                          </w:r>
                        </w:p>
                        <w:p w:rsidR="000513B8" w:rsidRPr="00B13D2D" w:rsidRDefault="000513B8" w:rsidP="000513B8">
                          <w:pPr>
                            <w:spacing w:after="0" w:line="36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B13D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 обилие лидеров;</w:t>
                          </w:r>
                        </w:p>
                        <w:p w:rsidR="000513B8" w:rsidRPr="00B13D2D" w:rsidRDefault="000513B8" w:rsidP="000513B8">
                          <w:pPr>
                            <w:spacing w:after="0" w:line="36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B13D2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 интегрированность уровней</w:t>
                          </w:r>
                        </w:p>
                      </w:txbxContent>
                    </v:textbox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53" o:spid="_x0000_s1031" type="#_x0000_t5" style="position:absolute;left:2741;top:2566;width:978;height: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" fillcolor="#4472c4 [3208]" strokecolor="#f2f2f2 [3041]" strokeweight="3pt">
                    <v:shadow on="t" color="#1f3763 [1608]" opacity=".5" offset="1pt"/>
                  </v:shape>
                  <v:shape id="Поле 55" o:spid="_x0000_s1032" type="#_x0000_t202" style="position:absolute;left:1032;top:2716;width:1496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" fillcolor="white [3212]" strokecolor="white [3212]" strokeweight="3pt">
                    <v:shadow on="t" color="#1f3763 [1608]" opacity=".5" offset="1pt"/>
                    <v:textbox>
                      <w:txbxContent>
                        <w:p w:rsidR="000513B8" w:rsidRPr="00F81C1A" w:rsidRDefault="000513B8" w:rsidP="000513B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F81C1A">
                            <w:rPr>
                              <w:rFonts w:ascii="Times New Roman" w:hAnsi="Times New Roman" w:cs="Times New Roman"/>
                              <w:b/>
                              <w:color w:val="0070C0"/>
                              <w:sz w:val="20"/>
                              <w:szCs w:val="20"/>
                            </w:rPr>
                            <w:t>ДЕЛО</w:t>
                          </w:r>
                        </w:p>
                        <w:p w:rsidR="000513B8" w:rsidRPr="00F81C1A" w:rsidRDefault="000513B8" w:rsidP="000513B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F81C1A">
                            <w:rPr>
                              <w:rFonts w:ascii="Times New Roman" w:hAnsi="Times New Roman" w:cs="Times New Roman"/>
                              <w:b/>
                              <w:color w:val="0070C0"/>
                              <w:sz w:val="20"/>
                              <w:szCs w:val="20"/>
                            </w:rPr>
                            <w:t>цель</w:t>
                          </w:r>
                        </w:p>
                      </w:txbxContent>
                    </v:textbox>
                  </v:shape>
                  <v:shape id="Поле 56" o:spid="_x0000_s1033" type="#_x0000_t202" style="position:absolute;left:3950;top:2566;width:2145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" fillcolor="white [3212]" stroked="f" strokecolor="white [3212]" strokeweight="3pt">
                    <v:shadow on="t" color="#1f3763 [1608]" opacity=".5" offset="1pt"/>
                    <v:textbox>
                      <w:txbxContent>
                        <w:p w:rsidR="000513B8" w:rsidRPr="00F81C1A" w:rsidRDefault="000513B8" w:rsidP="000513B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F81C1A">
                            <w:rPr>
                              <w:rFonts w:ascii="Times New Roman" w:hAnsi="Times New Roman" w:cs="Times New Roman"/>
                              <w:b/>
                              <w:color w:val="0070C0"/>
                              <w:sz w:val="20"/>
                              <w:szCs w:val="20"/>
                            </w:rPr>
                            <w:t>КК</w:t>
                          </w:r>
                        </w:p>
                        <w:p w:rsidR="000513B8" w:rsidRPr="00F81C1A" w:rsidRDefault="000513B8" w:rsidP="000513B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F81C1A">
                            <w:rPr>
                              <w:rFonts w:ascii="Times New Roman" w:hAnsi="Times New Roman" w:cs="Times New Roman"/>
                              <w:b/>
                              <w:color w:val="0070C0"/>
                              <w:sz w:val="20"/>
                              <w:szCs w:val="20"/>
                            </w:rPr>
                            <w:t>(ключевые компетенции)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513B8" w:rsidRPr="000513B8" w:rsidRDefault="000513B8" w:rsidP="00051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3B8" w:rsidRPr="000513B8" w:rsidRDefault="000513B8" w:rsidP="00051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3B8" w:rsidRPr="000513B8" w:rsidRDefault="000513B8" w:rsidP="00051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3B8" w:rsidRPr="000513B8" w:rsidRDefault="000513B8" w:rsidP="00051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3B8" w:rsidRPr="000513B8" w:rsidRDefault="000513B8" w:rsidP="00051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3B8" w:rsidRPr="000513B8" w:rsidRDefault="000513B8" w:rsidP="00051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3B8" w:rsidRPr="000513B8" w:rsidRDefault="000513B8" w:rsidP="00051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3B8" w:rsidRPr="000513B8" w:rsidRDefault="000513B8" w:rsidP="00051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3B8" w:rsidRPr="000513B8" w:rsidRDefault="000513B8" w:rsidP="00051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3B8" w:rsidRPr="000513B8" w:rsidRDefault="000513B8" w:rsidP="00051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3B8">
        <w:rPr>
          <w:rFonts w:ascii="Times New Roman" w:hAnsi="Times New Roman" w:cs="Times New Roman"/>
          <w:sz w:val="24"/>
          <w:szCs w:val="24"/>
        </w:rPr>
        <w:t>Рис. 1. Модель сетевого взаимодействия</w:t>
      </w:r>
    </w:p>
    <w:p w:rsidR="000513B8" w:rsidRPr="000513B8" w:rsidRDefault="000513B8" w:rsidP="000513B8">
      <w:pPr>
        <w:spacing w:after="0" w:line="240" w:lineRule="auto"/>
        <w:jc w:val="center"/>
        <w:rPr>
          <w:sz w:val="24"/>
          <w:szCs w:val="24"/>
        </w:rPr>
      </w:pP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принцип базируется на трех категориях: </w:t>
      </w:r>
    </w:p>
    <w:p w:rsidR="000513B8" w:rsidRPr="000513B8" w:rsidRDefault="000513B8" w:rsidP="000513B8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(работа, занятие, деятельность), которое объединяет сообщество и организует его созидательную, активную деятельность; </w:t>
      </w:r>
    </w:p>
    <w:p w:rsidR="000513B8" w:rsidRPr="000513B8" w:rsidRDefault="000513B8" w:rsidP="000513B8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компетенции (круг вопросов, в которых человек хорошо осведомлен, круг его полномочий), необходимые для дела, которыми обладают разные члены сообщества; уникальность каждого состоит в уникальности его компетенций и их проявлений в деле; </w:t>
      </w:r>
    </w:p>
    <w:p w:rsidR="000513B8" w:rsidRPr="000513B8" w:rsidRDefault="000513B8" w:rsidP="000513B8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>доверие (уверенность в добросовестности другого человека, его искренности, правильности дела; отношение к человеку или делу, основанное на этом), которое необходимо для развития ответственности членов сообщества.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принципы в значительной мере претендуют на реализацию развивающего подхода к </w:t>
      </w:r>
      <w:proofErr w:type="spellStart"/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и профильному обучению. </w:t>
      </w: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1" w:name="_Toc176775793"/>
      <w:r w:rsidRPr="000513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Условия, имеющиеся в </w:t>
      </w:r>
      <w:bookmarkEnd w:id="1"/>
      <w:r w:rsidRPr="000513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Школе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Первая группа условий</w:t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0513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педагогические</w:t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13B8" w:rsidRPr="000513B8" w:rsidRDefault="000513B8" w:rsidP="000513B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>наличие опыта работы по Программам изучения предмета на профильном и базовом уровнях;</w:t>
      </w:r>
    </w:p>
    <w:p w:rsidR="000513B8" w:rsidRPr="000513B8" w:rsidRDefault="000513B8" w:rsidP="000513B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>наличие опыта предоставления ученикам выбора (курсов, программ, заданий, форм оценивания, форм контроля);</w:t>
      </w:r>
    </w:p>
    <w:p w:rsidR="000513B8" w:rsidRPr="000513B8" w:rsidRDefault="000513B8" w:rsidP="000513B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наличие у обучающихся опыта построения своего образовательного маршрута; осознание личной значимости образования;</w:t>
      </w:r>
    </w:p>
    <w:p w:rsidR="000513B8" w:rsidRPr="000513B8" w:rsidRDefault="000513B8" w:rsidP="000513B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>знание обучающимися своих познавательных возможностей и интересов, понимание смысла своего образования и его взаимосвязи с будущей профессиональной карьерой и личным жизненным успехом;</w:t>
      </w:r>
    </w:p>
    <w:p w:rsidR="000513B8" w:rsidRPr="000513B8" w:rsidRDefault="000513B8" w:rsidP="000513B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>наличие опыта диагностики познавательных интересов и возможностей обучающихся, их склонности к тем или иным профессиям.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Вторая группа условий </w:t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513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ресурсные</w:t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13B8" w:rsidRPr="000513B8" w:rsidRDefault="000513B8" w:rsidP="000513B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>обеспечение равного доступа к получению образовательных услуг (в том числе дополнительных, платных) для всех желающих обучающихся;</w:t>
      </w:r>
    </w:p>
    <w:p w:rsidR="000513B8" w:rsidRPr="000513B8" w:rsidRDefault="000513B8" w:rsidP="000513B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>наличие высококвалифицированных педагогических кадров, имеющих опыт инновационной деятельности;</w:t>
      </w:r>
    </w:p>
    <w:p w:rsidR="000513B8" w:rsidRPr="000513B8" w:rsidRDefault="000513B8" w:rsidP="000513B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учебно-методическое сопровождение (наличие учебно-методических комплексов по профильным предметам, элективным курсам, элективным учебным предметам, готовность учителя к их адаптации на профильный и базовый уровень);</w:t>
      </w:r>
    </w:p>
    <w:p w:rsidR="000513B8" w:rsidRPr="000513B8" w:rsidRDefault="000513B8" w:rsidP="000513B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 xml:space="preserve">связь с учреждениями профессионального образования, с иными учреждениями образования, культуры, которые могут содействовать реализации </w:t>
      </w:r>
      <w:proofErr w:type="spellStart"/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>предпрофильной</w:t>
      </w:r>
      <w:proofErr w:type="spellEnd"/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 и профильного обучения;</w:t>
      </w:r>
    </w:p>
    <w:p w:rsidR="000513B8" w:rsidRPr="000513B8" w:rsidRDefault="000513B8" w:rsidP="000513B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материально-техническое обеспечение программ профильного обучения (наличие библиотеки, современного оборудования предметных кабинетов, кабинета информационных технологий, обеспечивающего доступ к современным базам данных).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Третья группа условий</w:t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0513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организационные</w:t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13B8" w:rsidRPr="000513B8" w:rsidRDefault="000513B8" w:rsidP="000513B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опыта организации </w:t>
      </w:r>
      <w:proofErr w:type="spellStart"/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>предпрофильной</w:t>
      </w:r>
      <w:proofErr w:type="spellEnd"/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 обучающихся, в частности, через введение </w:t>
      </w:r>
      <w:proofErr w:type="spellStart"/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>предпрофильных</w:t>
      </w:r>
      <w:proofErr w:type="spellEnd"/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курсов по выбору (курсы носят краткосрочный характер, чередуются, обеспечивают возможность выбора обучающимися);</w:t>
      </w:r>
    </w:p>
    <w:p w:rsidR="000513B8" w:rsidRPr="000513B8" w:rsidRDefault="000513B8" w:rsidP="000513B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</w:t>
      </w:r>
      <w:proofErr w:type="spellStart"/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>внутришкольных</w:t>
      </w:r>
      <w:proofErr w:type="spellEnd"/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 xml:space="preserve"> механизмов комплектования 10-х классов;</w:t>
      </w:r>
    </w:p>
    <w:p w:rsidR="000513B8" w:rsidRPr="000513B8" w:rsidRDefault="000513B8" w:rsidP="000513B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>наличие опыта введения накопительной оценки (портфолио обучающегося), учитывающей разнообразные достижения обучающегося, подтверждающей его учебные успехи и ориентацию на освоение того или иного профиля;</w:t>
      </w:r>
    </w:p>
    <w:p w:rsidR="000513B8" w:rsidRPr="000513B8" w:rsidRDefault="000513B8" w:rsidP="000513B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внутренних нормативных документов (приказов, распоряжений, положений, договоров и т.п.) для организации </w:t>
      </w:r>
      <w:proofErr w:type="spellStart"/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>предпрофильной</w:t>
      </w:r>
      <w:proofErr w:type="spellEnd"/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 и профильного обучения.</w:t>
      </w: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учитываются взаимосвязь и использование материальных и кадровых ресурсов учреждений дополнительного и профессионального образования, организаций и работодателей, потребности регионального рынка труда, и его развитие на ближайшую перспективу. </w:t>
      </w:r>
    </w:p>
    <w:p w:rsidR="000513B8" w:rsidRPr="000513B8" w:rsidRDefault="000513B8" w:rsidP="00051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F6B16FC" wp14:editId="6A5D7CE3">
                <wp:extent cx="6250305" cy="2564765"/>
                <wp:effectExtent l="13335" t="5715" r="13335" b="2984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2564765"/>
                          <a:chOff x="1084" y="1805"/>
                          <a:chExt cx="10566" cy="420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398" y="1805"/>
                            <a:ext cx="10204" cy="946"/>
                            <a:chOff x="1398" y="1805"/>
                            <a:chExt cx="10204" cy="946"/>
                          </a:xfrm>
                        </wpg:grpSpPr>
                        <wps:wsp>
                          <wps:cNvPr id="3" name="Поле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8" y="1805"/>
                              <a:ext cx="1910" cy="92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EFFFF"/>
                                </a:gs>
                                <a:gs pos="55000">
                                  <a:srgbClr val="EDF9FE"/>
                                </a:gs>
                                <a:gs pos="100000">
                                  <a:srgbClr val="B1E9FF"/>
                                </a:gs>
                              </a:gsLst>
                              <a:path path="shape">
                                <a:fillToRect l="-39999" t="-89999" r="139999" b="189999"/>
                              </a:path>
                            </a:gradFill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5400" dir="5400000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513B8" w:rsidRPr="002C0A5C" w:rsidRDefault="000513B8" w:rsidP="000513B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2C0A5C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Профессиональные пробы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Поле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2" y="1813"/>
                              <a:ext cx="1296" cy="92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EFFFF"/>
                                </a:gs>
                                <a:gs pos="55000">
                                  <a:srgbClr val="EDF9FE"/>
                                </a:gs>
                                <a:gs pos="100000">
                                  <a:srgbClr val="B1E9FF"/>
                                </a:gs>
                              </a:gsLst>
                              <a:path path="shape">
                                <a:fillToRect l="-39999" t="-89999" r="139999" b="189999"/>
                              </a:path>
                            </a:gradFill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5400" dir="5400000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513B8" w:rsidRPr="002C0A5C" w:rsidRDefault="000513B8" w:rsidP="000513B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2C0A5C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Социальная практика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Поле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2" y="1813"/>
                              <a:ext cx="1661" cy="92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EFFFF"/>
                                </a:gs>
                                <a:gs pos="55000">
                                  <a:srgbClr val="EDF9FE"/>
                                </a:gs>
                                <a:gs pos="100000">
                                  <a:srgbClr val="B1E9FF"/>
                                </a:gs>
                              </a:gsLst>
                              <a:path path="shape">
                                <a:fillToRect l="-39999" t="-89999" r="139999" b="189999"/>
                              </a:path>
                            </a:gradFill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5400" dir="5400000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513B8" w:rsidRPr="002C0A5C" w:rsidRDefault="000513B8" w:rsidP="000513B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2C0A5C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Элективные курсы, учебные предметы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Поле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2" y="1824"/>
                              <a:ext cx="1837" cy="91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EFFFF"/>
                                </a:gs>
                                <a:gs pos="55000">
                                  <a:srgbClr val="EDF9FE"/>
                                </a:gs>
                                <a:gs pos="100000">
                                  <a:srgbClr val="B1E9FF"/>
                                </a:gs>
                              </a:gsLst>
                              <a:path path="shape">
                                <a:fillToRect l="-39999" t="-89999" r="139999" b="189999"/>
                              </a:path>
                            </a:gradFill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5400" dir="5400000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513B8" w:rsidRPr="002C0A5C" w:rsidRDefault="000513B8" w:rsidP="000513B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2C0A5C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Учебно-консультационные сессии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Поле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10" y="1824"/>
                              <a:ext cx="1277" cy="92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EFFFF"/>
                                </a:gs>
                                <a:gs pos="55000">
                                  <a:srgbClr val="EDF9FE"/>
                                </a:gs>
                                <a:gs pos="100000">
                                  <a:srgbClr val="B1E9FF"/>
                                </a:gs>
                              </a:gsLst>
                              <a:path path="shape">
                                <a:fillToRect l="-39999" t="-89999" r="139999" b="189999"/>
                              </a:path>
                            </a:gradFill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5400" dir="5400000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513B8" w:rsidRPr="002C0A5C" w:rsidRDefault="000513B8" w:rsidP="000513B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2C0A5C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Сетевой курс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Поле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0" y="1824"/>
                              <a:ext cx="1692" cy="92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EFFFF"/>
                                </a:gs>
                                <a:gs pos="55000">
                                  <a:srgbClr val="EDF9FE"/>
                                </a:gs>
                                <a:gs pos="100000">
                                  <a:srgbClr val="B1E9FF"/>
                                </a:gs>
                              </a:gsLst>
                              <a:path path="shape">
                                <a:fillToRect l="-39999" t="-89999" r="139999" b="189999"/>
                              </a:path>
                            </a:gradFill>
                            <a:ln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5400" dir="5400000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513B8" w:rsidRPr="002C0A5C" w:rsidRDefault="000513B8" w:rsidP="000513B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2C0A5C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Корпоративная группа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1084" y="2962"/>
                            <a:ext cx="10566" cy="3049"/>
                            <a:chOff x="1084" y="2900"/>
                            <a:chExt cx="10566" cy="3049"/>
                          </a:xfrm>
                        </wpg:grpSpPr>
                        <wps:wsp>
                          <wps:cNvPr id="10" name="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4" y="5017"/>
                              <a:ext cx="2648" cy="932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EFEFF"/>
                                </a:gs>
                                <a:gs pos="55000">
                                  <a:srgbClr val="EDF3FD"/>
                                </a:gs>
                                <a:gs pos="100000">
                                  <a:srgbClr val="B5CCF9"/>
                                </a:gs>
                              </a:gsLst>
                              <a:path path="shape">
                                <a:fillToRect l="-39999" t="-89999" r="139999" b="189999"/>
                              </a:path>
                            </a:gradFill>
                            <a:ln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5400" dir="5400000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513B8" w:rsidRPr="002C0A5C" w:rsidRDefault="000513B8" w:rsidP="000513B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2C0A5C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Учреждения дополнительного образования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Поле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51" y="5038"/>
                              <a:ext cx="3080" cy="91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EFEFF"/>
                                </a:gs>
                                <a:gs pos="55000">
                                  <a:srgbClr val="EDF3FD"/>
                                </a:gs>
                                <a:gs pos="100000">
                                  <a:srgbClr val="B5CCF9"/>
                                </a:gs>
                              </a:gsLst>
                              <a:path path="shape">
                                <a:fillToRect l="-39999" t="-89999" r="139999" b="189999"/>
                              </a:path>
                            </a:gradFill>
                            <a:ln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5400" dir="5400000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513B8" w:rsidRPr="002C0A5C" w:rsidRDefault="000513B8" w:rsidP="000513B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2C0A5C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Учреждения среднего профессионального образования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Поле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56" y="5075"/>
                              <a:ext cx="2630" cy="87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EFEFF"/>
                                </a:gs>
                                <a:gs pos="55000">
                                  <a:srgbClr val="EDF3FD"/>
                                </a:gs>
                                <a:gs pos="100000">
                                  <a:srgbClr val="B5CCF9"/>
                                </a:gs>
                              </a:gsLst>
                              <a:path path="shape">
                                <a:fillToRect l="-39999" t="-89999" r="139999" b="189999"/>
                              </a:path>
                            </a:gradFill>
                            <a:ln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5400" dir="5400000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513B8" w:rsidRPr="002C0A5C" w:rsidRDefault="000513B8" w:rsidP="000513B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2C0A5C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Учреждения высшего профессионального</w:t>
                                </w:r>
                                <w:r w:rsidRPr="002C0A5C"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  <w:lang w:eastAsia="ru-RU"/>
                                  </w:rPr>
                                  <w:t xml:space="preserve"> </w:t>
                                </w:r>
                                <w:r w:rsidRPr="002C0A5C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образования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Поле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87" y="5075"/>
                              <a:ext cx="1760" cy="83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EFEFF"/>
                                </a:gs>
                                <a:gs pos="55000">
                                  <a:srgbClr val="EDF3FD"/>
                                </a:gs>
                                <a:gs pos="100000">
                                  <a:srgbClr val="B5CCF9"/>
                                </a:gs>
                              </a:gsLst>
                              <a:path path="shape">
                                <a:fillToRect l="-39999" t="-89999" r="139999" b="189999"/>
                              </a:path>
                            </a:gradFill>
                            <a:ln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5400" dir="5400000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513B8" w:rsidRPr="002C0A5C" w:rsidRDefault="000513B8" w:rsidP="000513B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2C0A5C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Организации - партнеры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Поле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9" y="2900"/>
                              <a:ext cx="10261" cy="492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EFFFE"/>
                                </a:gs>
                                <a:gs pos="55000">
                                  <a:srgbClr val="F6FCEE"/>
                                </a:gs>
                                <a:gs pos="100000">
                                  <a:srgbClr val="DDF7B8"/>
                                </a:gs>
                              </a:gsLst>
                              <a:path path="shape">
                                <a:fillToRect l="-39999" t="-89999" r="139999" b="189999"/>
                              </a:path>
                            </a:gradFill>
                            <a:ln w="9525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5400" dir="5400000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513B8" w:rsidRPr="002C0A5C" w:rsidRDefault="000513B8" w:rsidP="000513B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2C0A5C"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  <w:t xml:space="preserve">Индивидуальные учебные планы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Поле 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4" y="3666"/>
                              <a:ext cx="6672" cy="1076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EFE"/>
                                </a:gs>
                                <a:gs pos="55000">
                                  <a:srgbClr val="FDEDED"/>
                                </a:gs>
                                <a:gs pos="100000">
                                  <a:srgbClr val="FBB4B3"/>
                                </a:gs>
                              </a:gsLst>
                              <a:path path="shape">
                                <a:fillToRect l="-39999" t="-89999" r="139999" b="189999"/>
                              </a:path>
                            </a:gradFill>
                            <a:ln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5400" dir="5400000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513B8" w:rsidRPr="002C0A5C" w:rsidRDefault="000513B8" w:rsidP="000513B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2C0A5C"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  <w:t xml:space="preserve">Школа - центр </w:t>
                                </w:r>
                              </w:p>
                              <w:p w:rsidR="000513B8" w:rsidRPr="002C0A5C" w:rsidRDefault="000513B8" w:rsidP="000513B8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2C0A5C"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  <w:t>учения компетенций местного сообщества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6B16FC" id="Группа 1" o:spid="_x0000_s1034" style="width:492.15pt;height:201.95pt;mso-position-horizontal-relative:char;mso-position-vertical-relative:line" coordorigin="1084,1805" coordsize="10566,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">
                <v:group id="Group 3" o:spid="_x0000_s1035" style="position:absolute;left:1398;top:1805;width:10204;height:946" coordorigin="1398,1805" coordsize="10204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Поле 8" o:spid="_x0000_s1036" type="#_x0000_t202" style="position:absolute;left:1398;top:1805;width:191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" fillcolor="#feffff" strokecolor="#4472c4 [3208]">
                    <v:fill color2="#b1e9ff" rotate="t" focusposition="-26214f,-58982f" focussize="" colors="0 #feffff;36045f #edf9fe;1 #b1e9ff" focus="100%" type="gradientRadial"/>
                    <v:shadow on="t" color="black" opacity="26213f" origin=",.5" offset="0"/>
                    <v:textbox>
                      <w:txbxContent>
                        <w:p w:rsidR="000513B8" w:rsidRPr="002C0A5C" w:rsidRDefault="000513B8" w:rsidP="000513B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2C0A5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Профессиональные пробы </w:t>
                          </w:r>
                        </w:p>
                      </w:txbxContent>
                    </v:textbox>
                  </v:shape>
                  <v:shape id="Поле 19" o:spid="_x0000_s1037" type="#_x0000_t202" style="position:absolute;left:3402;top:1813;width:1296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" fillcolor="#feffff" strokecolor="#4472c4 [3208]">
                    <v:fill color2="#b1e9ff" rotate="t" focusposition="-26214f,-58982f" focussize="" colors="0 #feffff;36045f #edf9fe;1 #b1e9ff" focus="100%" type="gradientRadial"/>
                    <v:shadow on="t" color="black" opacity="26213f" origin=",.5" offset="0"/>
                    <v:textbox>
                      <w:txbxContent>
                        <w:p w:rsidR="000513B8" w:rsidRPr="002C0A5C" w:rsidRDefault="000513B8" w:rsidP="000513B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2C0A5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Социальная практика </w:t>
                          </w:r>
                        </w:p>
                      </w:txbxContent>
                    </v:textbox>
                  </v:shape>
                  <v:shape id="Поле 18" o:spid="_x0000_s1038" type="#_x0000_t202" style="position:absolute;left:4802;top:1813;width:1661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" fillcolor="#feffff" strokecolor="#4472c4 [3208]">
                    <v:fill color2="#b1e9ff" rotate="t" focusposition="-26214f,-58982f" focussize="" colors="0 #feffff;36045f #edf9fe;1 #b1e9ff" focus="100%" type="gradientRadial"/>
                    <v:shadow on="t" color="black" opacity="26213f" origin=",.5" offset="0"/>
                    <v:textbox>
                      <w:txbxContent>
                        <w:p w:rsidR="000513B8" w:rsidRPr="002C0A5C" w:rsidRDefault="000513B8" w:rsidP="000513B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2C0A5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Элективные курсы, учебные предметы</w:t>
                          </w:r>
                        </w:p>
                      </w:txbxContent>
                    </v:textbox>
                  </v:shape>
                  <v:shape id="Поле 21" o:spid="_x0000_s1039" type="#_x0000_t202" style="position:absolute;left:6572;top:1824;width:1837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" fillcolor="#feffff" strokecolor="#4472c4 [3208]">
                    <v:fill color2="#b1e9ff" rotate="t" focusposition="-26214f,-58982f" focussize="" colors="0 #feffff;36045f #edf9fe;1 #b1e9ff" focus="100%" type="gradientRadial"/>
                    <v:shadow on="t" color="black" opacity="26213f" origin=",.5" offset="0"/>
                    <v:textbox>
                      <w:txbxContent>
                        <w:p w:rsidR="000513B8" w:rsidRPr="002C0A5C" w:rsidRDefault="000513B8" w:rsidP="000513B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2C0A5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Учебно-консультационные сессии</w:t>
                          </w:r>
                        </w:p>
                      </w:txbxContent>
                    </v:textbox>
                  </v:shape>
                  <v:shape id="Поле 22" o:spid="_x0000_s1040" type="#_x0000_t202" style="position:absolute;left:8510;top:1824;width:1277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" fillcolor="#feffff" strokecolor="#4472c4 [3208]">
                    <v:fill color2="#b1e9ff" rotate="t" focusposition="-26214f,-58982f" focussize="" colors="0 #feffff;36045f #edf9fe;1 #b1e9ff" focus="100%" type="gradientRadial"/>
                    <v:shadow on="t" color="black" opacity="26213f" origin=",.5" offset="0"/>
                    <v:textbox>
                      <w:txbxContent>
                        <w:p w:rsidR="000513B8" w:rsidRPr="002C0A5C" w:rsidRDefault="000513B8" w:rsidP="000513B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2C0A5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Сетевой курс</w:t>
                          </w:r>
                        </w:p>
                      </w:txbxContent>
                    </v:textbox>
                  </v:shape>
                  <v:shape id="Поле 23" o:spid="_x0000_s1041" type="#_x0000_t202" style="position:absolute;left:9910;top:1824;width:1692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" fillcolor="#feffff" strokecolor="#4472c4 [3208]">
                    <v:fill color2="#b1e9ff" rotate="t" focusposition="-26214f,-58982f" focussize="" colors="0 #feffff;36045f #edf9fe;1 #b1e9ff" focus="100%" type="gradientRadial"/>
                    <v:shadow on="t" color="black" opacity="26213f" origin=",.5" offset="0"/>
                    <v:textbox>
                      <w:txbxContent>
                        <w:p w:rsidR="000513B8" w:rsidRPr="002C0A5C" w:rsidRDefault="000513B8" w:rsidP="000513B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2C0A5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Корпоративная группа</w:t>
                          </w:r>
                        </w:p>
                      </w:txbxContent>
                    </v:textbox>
                  </v:shape>
                </v:group>
                <v:group id="Group 10" o:spid="_x0000_s1042" style="position:absolute;left:1084;top:2962;width:10566;height:3049" coordorigin="1084,2900" coordsize="10566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Поле 2" o:spid="_x0000_s1043" type="#_x0000_t202" style="position:absolute;left:1084;top:5017;width:2648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" fillcolor="#fefeff" strokecolor="#5b9bd5 [3204]">
                    <v:fill color2="#b5ccf9" rotate="t" focusposition="-26214f,-58982f" focussize="" colors="0 #fefeff;36045f #edf3fd;1 #b5ccf9" focus="100%" type="gradientRadial"/>
                    <v:shadow on="t" color="black" opacity="26213f" origin=",.5" offset="0"/>
                    <v:textbox>
                      <w:txbxContent>
                        <w:p w:rsidR="000513B8" w:rsidRPr="002C0A5C" w:rsidRDefault="000513B8" w:rsidP="000513B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2C0A5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Учреждения дополнительного образования </w:t>
                          </w:r>
                        </w:p>
                      </w:txbxContent>
                    </v:textbox>
                  </v:shape>
                  <v:shape id="Поле 4" o:spid="_x0000_s1044" type="#_x0000_t202" style="position:absolute;left:3851;top:5038;width:3080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" fillcolor="#fefeff" strokecolor="#5b9bd5 [3204]">
                    <v:fill color2="#b5ccf9" rotate="t" focusposition="-26214f,-58982f" focussize="" colors="0 #fefeff;36045f #edf3fd;1 #b5ccf9" focus="100%" type="gradientRadial"/>
                    <v:shadow on="t" color="black" opacity="26213f" origin=",.5" offset="0"/>
                    <v:textbox>
                      <w:txbxContent>
                        <w:p w:rsidR="000513B8" w:rsidRPr="002C0A5C" w:rsidRDefault="000513B8" w:rsidP="000513B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2C0A5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Учреждения среднего профессионального образования</w:t>
                          </w:r>
                        </w:p>
                      </w:txbxContent>
                    </v:textbox>
                  </v:shape>
                  <v:shape id="Поле 5" o:spid="_x0000_s1045" type="#_x0000_t202" style="position:absolute;left:7056;top:5075;width:2630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" fillcolor="#fefeff" strokecolor="#5b9bd5 [3204]">
                    <v:fill color2="#b5ccf9" rotate="t" focusposition="-26214f,-58982f" focussize="" colors="0 #fefeff;36045f #edf3fd;1 #b5ccf9" focus="100%" type="gradientRadial"/>
                    <v:shadow on="t" color="black" opacity="26213f" origin=",.5" offset="0"/>
                    <v:textbox>
                      <w:txbxContent>
                        <w:p w:rsidR="000513B8" w:rsidRPr="002C0A5C" w:rsidRDefault="000513B8" w:rsidP="000513B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2C0A5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Учреждения высшего профессионального</w:t>
                          </w:r>
                          <w:r w:rsidRPr="002C0A5C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  <w:r w:rsidRPr="002C0A5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образования</w:t>
                          </w:r>
                        </w:p>
                      </w:txbxContent>
                    </v:textbox>
                  </v:shape>
                  <v:shape id="Поле 14" o:spid="_x0000_s1046" type="#_x0000_t202" style="position:absolute;left:9787;top:5075;width:1760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" fillcolor="#fefeff" strokecolor="#5b9bd5 [3204]">
                    <v:fill color2="#b5ccf9" rotate="t" focusposition="-26214f,-58982f" focussize="" colors="0 #fefeff;36045f #edf3fd;1 #b5ccf9" focus="100%" type="gradientRadial"/>
                    <v:shadow on="t" color="black" opacity="26213f" origin=",.5" offset="0"/>
                    <v:textbox>
                      <w:txbxContent>
                        <w:p w:rsidR="000513B8" w:rsidRPr="002C0A5C" w:rsidRDefault="000513B8" w:rsidP="000513B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2C0A5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Организации - партнеры </w:t>
                          </w:r>
                        </w:p>
                      </w:txbxContent>
                    </v:textbox>
                  </v:shape>
                  <v:shape id="Поле 20" o:spid="_x0000_s1047" type="#_x0000_t202" style="position:absolute;left:1389;top:2900;width:10261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" fillcolor="#fefffe" strokecolor="#a5a5a5 [3206]">
                    <v:fill color2="#ddf7b8" rotate="t" focusposition="-26214f,-58982f" focussize="" colors="0 #fefffe;36045f #f6fcee;1 #ddf7b8" focus="100%" type="gradientRadial"/>
                    <v:shadow on="t" color="black" opacity="26213f" origin=",.5" offset="0"/>
                    <v:textbox>
                      <w:txbxContent>
                        <w:p w:rsidR="000513B8" w:rsidRPr="002C0A5C" w:rsidRDefault="000513B8" w:rsidP="000513B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2C0A5C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 xml:space="preserve">Индивидуальные учебные планы </w:t>
                          </w:r>
                        </w:p>
                      </w:txbxContent>
                    </v:textbox>
                  </v:shape>
                  <v:shapetype id="_x0000_t21" coordsize="21600,21600" o:spt="21" adj="3600" path="m@0,qy0@0l0@2qx@0,21600l@1,21600qy21600@2l21600@0qx@1,xe">
                    <v:stroke joinstyle="miter"/>
                    <v:formulas>
                      <v:f eqn="val #0"/>
                      <v:f eqn="sum width 0 #0"/>
                      <v:f eqn="sum height 0 #0"/>
                      <v:f eqn="prod @0 7071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Поле 1" o:spid="_x0000_s1048" type="#_x0000_t21" style="position:absolute;left:3004;top:3666;width:6672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" fillcolor="#fffefe" strokecolor="#ed7d31 [3205]">
                    <v:fill color2="#fbb4b3" rotate="t" focusposition="-26214f,-58982f" focussize="" colors="0 #fffefe;36045f #fdeded;1 #fbb4b3" focus="100%" type="gradientRadial"/>
                    <v:shadow on="t" color="black" opacity="26213f" origin=",.5" offset="0"/>
                    <v:textbox>
                      <w:txbxContent>
                        <w:p w:rsidR="000513B8" w:rsidRPr="002C0A5C" w:rsidRDefault="000513B8" w:rsidP="000513B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2C0A5C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 xml:space="preserve">Школа - центр </w:t>
                          </w:r>
                        </w:p>
                        <w:p w:rsidR="000513B8" w:rsidRPr="002C0A5C" w:rsidRDefault="000513B8" w:rsidP="000513B8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2C0A5C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учения компетенций местного сообщества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513B8" w:rsidRPr="000513B8" w:rsidRDefault="000513B8" w:rsidP="000513B8">
      <w:pPr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hAnsi="Times New Roman" w:cs="Times New Roman"/>
          <w:sz w:val="24"/>
          <w:szCs w:val="24"/>
        </w:rPr>
        <w:lastRenderedPageBreak/>
        <w:t xml:space="preserve">Рис. 2 Модель сетевой организации </w:t>
      </w:r>
      <w:proofErr w:type="spellStart"/>
      <w:r w:rsidRPr="000513B8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0513B8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обучения на основе Школы как многофункционального центра учения компетенций местного сообщества</w:t>
      </w: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Сетевая организация </w:t>
      </w:r>
      <w:proofErr w:type="spellStart"/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и профильного обучения на основе Школы как многофункционального центра учения компетенций местного сообщества организована таким образом, что обучающиеся Школы осваивают в другой образовательной </w:t>
      </w:r>
      <w:proofErr w:type="gramStart"/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весь профессиональный модуль, а только его фрагмент: например, проходят учебную практику (производственное обучение).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модель профильного обучения обучение влечет за собой неизбежное увеличение продолжительности и значимости самообразования в образовательном деятельности. Актуализируется задача формирования навыков самостоятельной познавательной и практической деятельности обучаемых. При этом под самообразованием понимается не только вид образовательной деятельности, характерный для удовлетворения индивидуальных познавательных интересов или для дополнительного образования, но и существенное возрастание объема самостоятельной учебной работы школьников на уроках.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условиях существенно увеличится роль средств обучения, особое значение приобретают средства информационных и телекоммуникационных технологий обучения, в том числе и дистанционных образовательных технологий. 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создается новая среда обучения, ориентированная на самостоятельную учебную деятельность, развитие творческих способностей обучаемых.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2" w:name="_Toc180637384"/>
      <w:r w:rsidRPr="000513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Характерные особенности</w:t>
      </w:r>
      <w:bookmarkEnd w:id="2"/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выделить характерные особенности организации профильного обучения по данной модели, которые тесно связаны с сетевым взаимодействием и с организацией, в том числе именно дистанционных форм обучения для школьников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180637385"/>
      <w:bookmarkStart w:id="4" w:name="_Toc176775801"/>
      <w:bookmarkEnd w:id="3"/>
      <w:r w:rsidRPr="000513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1. Гибкость, адаптивность</w:t>
      </w:r>
      <w:bookmarkEnd w:id="4"/>
      <w:r w:rsidRPr="00051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желании школьник может учиться в индивидуальном темпе и столько, сколько ему необходимо для получения необходимых знаний по выбранным дисциплинам).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180637386"/>
      <w:bookmarkStart w:id="6" w:name="_Toc176775802"/>
      <w:bookmarkEnd w:id="5"/>
      <w:r w:rsidRPr="000513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2. </w:t>
      </w:r>
      <w:bookmarkEnd w:id="6"/>
      <w:r w:rsidRPr="000513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Модульность</w:t>
      </w:r>
      <w:r w:rsidRPr="00051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программ в данном случае закладывается в основном модульный принцип построения. Это позволяет из набора независимых учебных модулей формировать содержание учебного плана, отвечающего индивидуальным или групповым образовательным потребностям).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Toc180637387"/>
      <w:bookmarkStart w:id="8" w:name="_Toc176775803"/>
      <w:bookmarkEnd w:id="7"/>
      <w:r w:rsidRPr="000513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3. </w:t>
      </w:r>
      <w:bookmarkEnd w:id="8"/>
      <w:r w:rsidRPr="000513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Интерактивность</w:t>
      </w:r>
      <w:r w:rsidRPr="00051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обучаться в режиме диалога с участниками образовательных отношений посредством использования специализированной образовательной среды (в том числе, форумы, электронная почта, интернет-конференции. Возможность проведения виртуальных экскурсий и </w:t>
      </w:r>
      <w:proofErr w:type="spellStart"/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line</w:t>
      </w:r>
      <w:proofErr w:type="spellEnd"/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уроков).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Toc180637388"/>
      <w:bookmarkStart w:id="10" w:name="_Toc176775804"/>
      <w:bookmarkEnd w:id="9"/>
      <w:r w:rsidRPr="000513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4. </w:t>
      </w:r>
      <w:bookmarkEnd w:id="10"/>
      <w:r w:rsidRPr="000513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Асинхронность</w:t>
      </w:r>
      <w:r w:rsidRPr="00051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выражает условие реализации </w:t>
      </w:r>
      <w:r w:rsidRPr="000513B8">
        <w:rPr>
          <w:rFonts w:ascii="Times New Roman" w:hAnsi="Times New Roman"/>
          <w:sz w:val="24"/>
          <w:szCs w:val="24"/>
        </w:rPr>
        <w:t>образовательной деятельности</w:t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котором обучающий и обучаемый могут реализовывать технологию обучения и учения независимо во времени, т.е. по удобному для каждого из них расписанию).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180637389"/>
      <w:bookmarkStart w:id="12" w:name="_Toc176775805"/>
      <w:bookmarkEnd w:id="11"/>
      <w:r w:rsidRPr="000513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5. </w:t>
      </w:r>
      <w:bookmarkEnd w:id="12"/>
      <w:r w:rsidRPr="000513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Открытость и массовость</w:t>
      </w:r>
      <w:r w:rsidRPr="00051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становиться не столь критичным параметром для эффективности технологии обучения. Обучающиеся имеют доступ ко многим источникам учебной информации (электронным библиотекам, базам данных, электронным ресурсам организаций и предприятий промышленной сферы, учреждений высшего профессионального образования и др.).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Toc180637390"/>
      <w:bookmarkStart w:id="14" w:name="_Toc176775806"/>
      <w:bookmarkEnd w:id="13"/>
      <w:r w:rsidRPr="000513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6. </w:t>
      </w:r>
      <w:bookmarkEnd w:id="14"/>
      <w:proofErr w:type="spellStart"/>
      <w:r w:rsidRPr="000513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Распределенность</w:t>
      </w:r>
      <w:proofErr w:type="spellEnd"/>
      <w:r w:rsidRPr="00051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быстрое развитие телекоммуникационной среды является предпосылкой создания так называемых «виртуальных образовательных мероприятий», объединяющих в единую образовательную систему потенциал Школы, вузов, учреждений дополнительного образования и т.д.)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Toc180637391"/>
      <w:bookmarkStart w:id="16" w:name="_Toc176775807"/>
      <w:bookmarkEnd w:id="15"/>
      <w:r w:rsidRPr="000513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7. </w:t>
      </w:r>
      <w:bookmarkEnd w:id="16"/>
      <w:r w:rsidRPr="000513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Доступность </w:t>
      </w:r>
      <w:r w:rsidRPr="00051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снимает социальную напряженность, обеспечивая равную возможность получения образования независимо от места проживания. Это особенно важно для сельских образовательных учреждений).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Toc180637392"/>
      <w:bookmarkStart w:id="18" w:name="_Toc176775808"/>
      <w:bookmarkEnd w:id="17"/>
      <w:r w:rsidRPr="000513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8. </w:t>
      </w:r>
      <w:bookmarkEnd w:id="18"/>
      <w:r w:rsidRPr="000513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Рентабельность (т</w:t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о есть экономическая эффективность обучения. Оценка стоимости образовательных систем показывает, что они обходятся дешевле, в основном за счет более эффективного использования учебных помещений и технических средств, а также за счет использования более концентрированного представления содержания образования, ориентированности технологий ДО на большее количество одновременно обучающихся).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180637393"/>
      <w:bookmarkStart w:id="20" w:name="_Toc176775809"/>
      <w:bookmarkEnd w:id="19"/>
      <w:r w:rsidRPr="000513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Использование дидактического потенциала</w:t>
      </w:r>
      <w:bookmarkEnd w:id="20"/>
      <w:r w:rsidRPr="000513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051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потенциал и функции компьютерных телекоммуникаций обеспечивают возможность организации учебной деятельности, отвечающего требованиям и целям профильного обучения и отражающим основные принципы личностно-ориентированного подхода.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21" w:name="_Toc180637394"/>
      <w:bookmarkStart w:id="22" w:name="_Toc176775810"/>
      <w:bookmarkEnd w:id="21"/>
      <w:r w:rsidRPr="000513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Индивидуализация учебной </w:t>
      </w:r>
      <w:bookmarkEnd w:id="22"/>
      <w:r w:rsidRPr="000513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деятельности.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среднего общего образования предоставляет возможность для организации обучения по индивидуальным учебным планам обучающихся в соответствии с их образовательными потребностями и психолого-педагогическими особенностями и уровнем предшествующей учебной подготовки. В данном случае также очень большое внимание уделяется непрерывности обучения.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_Toc180637395"/>
      <w:bookmarkStart w:id="24" w:name="_Toc176775811"/>
      <w:bookmarkEnd w:id="23"/>
      <w:r w:rsidRPr="000513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1. Ориентация на самообразование</w:t>
      </w:r>
      <w:bookmarkEnd w:id="24"/>
      <w:r w:rsidRPr="00051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 направлен на развитие навыка самостоятельной активной учебной деятельности и на повышение уровня ее эффективности.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_Toc180637396"/>
      <w:bookmarkStart w:id="26" w:name="_Toc176775812"/>
      <w:bookmarkEnd w:id="25"/>
      <w:r w:rsidRPr="000513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 Гибкость организационной структуры обучения с использованием дистанционных образовательных технологий</w:t>
      </w:r>
      <w:bookmarkEnd w:id="26"/>
      <w:r w:rsidRPr="000513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051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дистанционных образовательных технологий позволяет образовательным учреждениям формировать учебные планы с использованием различных форм освоения образовательных программ, а также по различным конфигурациям построения индивидуальной образовательной стратегии обучающихся: возможно пошаговое или модульное освоение учебных программ.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_Toc180637397"/>
      <w:bookmarkStart w:id="28" w:name="_Toc176775813"/>
      <w:bookmarkEnd w:id="27"/>
      <w:r w:rsidRPr="000513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3. </w:t>
      </w:r>
      <w:proofErr w:type="spellStart"/>
      <w:r w:rsidRPr="000513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Разноуровневость</w:t>
      </w:r>
      <w:proofErr w:type="spellEnd"/>
      <w:r w:rsidRPr="000513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содержания образовательного ресурса</w:t>
      </w:r>
      <w:bookmarkEnd w:id="28"/>
      <w:r w:rsidRPr="000513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051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модульного построения, вариативности содержания, гибкости структуры сетевые учебные курсы позволяют реализовать как уровневую (базовый уровень, профильный уровень освоения образовательных программ), так и профильную дифференциацию, направленную на усвоение образовательных программ в определенной сфере с учетом способностей и познавательных потребностей обучаемых. При этом в условиях обучения школьникам предоставляется возможность изменения уровня изучения любого предмета в течение всего периода освоения образовательной Программы.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bookmarkStart w:id="29" w:name="_Toc180637398"/>
      <w:bookmarkStart w:id="30" w:name="_Toc176775814"/>
      <w:bookmarkEnd w:id="29"/>
      <w:r w:rsidRPr="000513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 Возможности функционального ресурса в оперативном оценивании образовательных результатов, рефлексии и коррекции методик обучения</w:t>
      </w:r>
      <w:bookmarkEnd w:id="30"/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дистанционного обучения предоставляют возможности оперативног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 объективного оценивания, онлайн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офф</w:t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</w:t>
      </w:r>
      <w:r w:rsidRPr="000513B8">
        <w:rPr>
          <w:rFonts w:ascii="Times New Roman" w:hAnsi="Times New Roman"/>
          <w:sz w:val="24"/>
          <w:szCs w:val="24"/>
        </w:rPr>
        <w:t>образовательной деятельности</w:t>
      </w: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сетевых учителей, проведения индивидуальной и групповой рефлексии учебной деятельности при поддержке </w:t>
      </w:r>
      <w:proofErr w:type="spellStart"/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открытого и конфиденциального взаимодействия с родителями (законными представителями) обучающихся, наблюдения за ходом учебной деятельности и его корректировки.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bookmarkStart w:id="31" w:name="_Toc180637399"/>
      <w:bookmarkStart w:id="32" w:name="_Toc176775815"/>
      <w:bookmarkEnd w:id="31"/>
      <w:r w:rsidRPr="000513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5. Психолого-педагогическое сопровождение учебной </w:t>
      </w:r>
      <w:bookmarkEnd w:id="32"/>
      <w:r w:rsidRPr="000513B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деятельности</w:t>
      </w:r>
    </w:p>
    <w:p w:rsidR="000513B8" w:rsidRPr="000513B8" w:rsidRDefault="000513B8" w:rsidP="000513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нового типа информационно-образовательного пространства происходит при постоянной поддержке психологов и педагогов. Реализация индивидуально-ориентированного подхода создает условия для обеспечения психологического комфорта в деятельности обучения, что способствует повышению уровня мотивации учения и эффективности учебной деятельности обучающихся.</w:t>
      </w: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Toc180637400"/>
      <w:bookmarkStart w:id="34" w:name="_Toc180637401"/>
      <w:bookmarkEnd w:id="33"/>
      <w:bookmarkEnd w:id="34"/>
      <w:r w:rsidRPr="000513B8">
        <w:rPr>
          <w:rFonts w:ascii="Times New Roman" w:hAnsi="Times New Roman" w:cs="Times New Roman"/>
          <w:sz w:val="24"/>
          <w:szCs w:val="24"/>
        </w:rPr>
        <w:t xml:space="preserve">Проектирование включает три основных этапа (по Н.В. </w:t>
      </w:r>
      <w:proofErr w:type="spellStart"/>
      <w:r w:rsidRPr="000513B8">
        <w:rPr>
          <w:rFonts w:ascii="Times New Roman" w:hAnsi="Times New Roman" w:cs="Times New Roman"/>
          <w:sz w:val="24"/>
          <w:szCs w:val="24"/>
        </w:rPr>
        <w:t>Немовой</w:t>
      </w:r>
      <w:proofErr w:type="spellEnd"/>
      <w:r w:rsidRPr="000513B8">
        <w:rPr>
          <w:rFonts w:ascii="Times New Roman" w:hAnsi="Times New Roman" w:cs="Times New Roman"/>
          <w:sz w:val="24"/>
          <w:szCs w:val="24"/>
        </w:rPr>
        <w:t>).</w:t>
      </w: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B8">
        <w:rPr>
          <w:rFonts w:ascii="Times New Roman" w:hAnsi="Times New Roman" w:cs="Times New Roman"/>
          <w:i/>
          <w:sz w:val="24"/>
          <w:szCs w:val="24"/>
        </w:rPr>
        <w:t xml:space="preserve">Первый этап, подготовительный или прогностический </w:t>
      </w:r>
      <w:r w:rsidRPr="000513B8">
        <w:rPr>
          <w:rFonts w:ascii="Times New Roman" w:hAnsi="Times New Roman" w:cs="Times New Roman"/>
          <w:sz w:val="24"/>
          <w:szCs w:val="24"/>
        </w:rPr>
        <w:t xml:space="preserve">(виртуального прогнозирования и разработки): определение перечня учреждений, которые войдут в сеть, и их предполагаемых функций; выстраивание возможной архитектуры связей сети, определение её плотности и размеров; разработка школьных учебных планов, </w:t>
      </w:r>
      <w:r w:rsidRPr="000513B8">
        <w:rPr>
          <w:rFonts w:ascii="Times New Roman" w:hAnsi="Times New Roman" w:cs="Times New Roman"/>
          <w:sz w:val="24"/>
          <w:szCs w:val="24"/>
        </w:rPr>
        <w:lastRenderedPageBreak/>
        <w:t xml:space="preserve">учитывающих </w:t>
      </w:r>
      <w:proofErr w:type="spellStart"/>
      <w:r w:rsidRPr="000513B8">
        <w:rPr>
          <w:rFonts w:ascii="Times New Roman" w:hAnsi="Times New Roman" w:cs="Times New Roman"/>
          <w:sz w:val="24"/>
          <w:szCs w:val="24"/>
        </w:rPr>
        <w:t>предпрофильную</w:t>
      </w:r>
      <w:proofErr w:type="spellEnd"/>
      <w:r w:rsidRPr="000513B8">
        <w:rPr>
          <w:rFonts w:ascii="Times New Roman" w:hAnsi="Times New Roman" w:cs="Times New Roman"/>
          <w:sz w:val="24"/>
          <w:szCs w:val="24"/>
        </w:rPr>
        <w:t xml:space="preserve"> подготовку, профильное обучение обучающихся; подготовка информационных мероприятий для обучающихся и их родителей (законных представителей)</w:t>
      </w:r>
      <w:r w:rsidRPr="000513B8">
        <w:rPr>
          <w:rFonts w:ascii="Times New Roman" w:hAnsi="Times New Roman" w:cs="Times New Roman"/>
        </w:rPr>
        <w:t xml:space="preserve"> </w:t>
      </w:r>
      <w:r w:rsidRPr="000513B8">
        <w:rPr>
          <w:rFonts w:ascii="Times New Roman" w:hAnsi="Times New Roman" w:cs="Times New Roman"/>
          <w:sz w:val="24"/>
          <w:szCs w:val="24"/>
        </w:rPr>
        <w:t>с целью ознакомления с возможностями ресурсного центра.</w:t>
      </w: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B8">
        <w:rPr>
          <w:rFonts w:ascii="Times New Roman" w:hAnsi="Times New Roman" w:cs="Times New Roman"/>
          <w:i/>
          <w:sz w:val="24"/>
          <w:szCs w:val="24"/>
        </w:rPr>
        <w:t>Второй этап – собственно создание сетевого ресурсного центра:</w:t>
      </w:r>
      <w:r w:rsidRPr="000513B8">
        <w:rPr>
          <w:rFonts w:ascii="Times New Roman" w:hAnsi="Times New Roman" w:cs="Times New Roman"/>
          <w:sz w:val="24"/>
          <w:szCs w:val="24"/>
        </w:rPr>
        <w:t xml:space="preserve"> составление и апробация варианта расписания учебных занятий; информирование обучающихся и родителей (законных представителей)</w:t>
      </w:r>
      <w:r w:rsidRPr="000513B8">
        <w:rPr>
          <w:rFonts w:ascii="Times New Roman" w:hAnsi="Times New Roman" w:cs="Times New Roman"/>
        </w:rPr>
        <w:t xml:space="preserve"> </w:t>
      </w:r>
      <w:r w:rsidRPr="000513B8">
        <w:rPr>
          <w:rFonts w:ascii="Times New Roman" w:hAnsi="Times New Roman" w:cs="Times New Roman"/>
          <w:sz w:val="24"/>
          <w:szCs w:val="24"/>
        </w:rPr>
        <w:t xml:space="preserve"> о возможностях Школы-центра, проведение «рекламной кампании» по ознакомлению с школой-центром; выбор обучающимися содержания образования, построение индивидуальных траекторий получения образования; обработка и анализ поступившей от школьников информации; построение на её основе вариантов сетевого взаимодействия учреждений; определение вида сети; выбор формы сетевого взаимодействия между учреждениями, работодателями и соответствующего способа управления ресурсным центром.</w:t>
      </w: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B8">
        <w:rPr>
          <w:rFonts w:ascii="Times New Roman" w:hAnsi="Times New Roman" w:cs="Times New Roman"/>
          <w:i/>
          <w:sz w:val="24"/>
          <w:szCs w:val="24"/>
        </w:rPr>
        <w:t>Третий этап – запуск сетевого взаимодействия с учреждениями и работодателями:</w:t>
      </w:r>
      <w:r w:rsidRPr="000513B8">
        <w:rPr>
          <w:rFonts w:ascii="Times New Roman" w:hAnsi="Times New Roman" w:cs="Times New Roman"/>
          <w:sz w:val="24"/>
          <w:szCs w:val="24"/>
        </w:rPr>
        <w:t xml:space="preserve"> введение определенных форм взаимодействия учреждений; проверка надежности страховочных механизмов функционирования; уточнение и корректировка форм и методов работы.</w:t>
      </w: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B8">
        <w:rPr>
          <w:rFonts w:ascii="Times New Roman" w:hAnsi="Times New Roman" w:cs="Times New Roman"/>
          <w:b/>
          <w:i/>
          <w:sz w:val="24"/>
          <w:szCs w:val="24"/>
        </w:rPr>
        <w:t>Ожидаемый результат</w:t>
      </w:r>
      <w:r w:rsidRPr="000513B8">
        <w:rPr>
          <w:rFonts w:ascii="Times New Roman" w:hAnsi="Times New Roman" w:cs="Times New Roman"/>
          <w:sz w:val="24"/>
          <w:szCs w:val="24"/>
        </w:rPr>
        <w:t xml:space="preserve"> организации сетевого взаимодействия может быть сформулирован следующим образом: </w:t>
      </w:r>
    </w:p>
    <w:p w:rsidR="000513B8" w:rsidRPr="000513B8" w:rsidRDefault="000513B8" w:rsidP="000513B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13B8">
        <w:rPr>
          <w:rFonts w:ascii="Times New Roman" w:hAnsi="Times New Roman" w:cs="Times New Roman"/>
          <w:sz w:val="24"/>
          <w:szCs w:val="24"/>
        </w:rPr>
        <w:t>Расширение образовательных возможностей участников образовательных отношений:</w:t>
      </w:r>
    </w:p>
    <w:p w:rsidR="000513B8" w:rsidRPr="000513B8" w:rsidRDefault="000513B8" w:rsidP="000513B8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 xml:space="preserve">для обучающихся: </w:t>
      </w:r>
    </w:p>
    <w:p w:rsidR="000513B8" w:rsidRPr="000513B8" w:rsidRDefault="000513B8" w:rsidP="000513B8">
      <w:pPr>
        <w:pStyle w:val="a3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 xml:space="preserve">расширение возможностей самореализации и профессионального самоопределения; </w:t>
      </w:r>
    </w:p>
    <w:p w:rsidR="000513B8" w:rsidRPr="000513B8" w:rsidRDefault="000513B8" w:rsidP="000513B8">
      <w:pPr>
        <w:pStyle w:val="a3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 xml:space="preserve">гарантия доступа к информационно-образовательным ресурсам, реализация принципов государственной образовательной политики, главный из которых -доступность образования; </w:t>
      </w:r>
    </w:p>
    <w:p w:rsidR="000513B8" w:rsidRPr="000513B8" w:rsidRDefault="000513B8" w:rsidP="000513B8">
      <w:pPr>
        <w:pStyle w:val="a3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 xml:space="preserve">развитие информационных потребностей и информационной культуры; </w:t>
      </w:r>
    </w:p>
    <w:p w:rsidR="000513B8" w:rsidRPr="000513B8" w:rsidRDefault="000513B8" w:rsidP="000513B8">
      <w:pPr>
        <w:pStyle w:val="a3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 xml:space="preserve">расширение возможностей для развития личности, ее творческого, интеллектуального потенциала, приобщения к мировым, национальным и региональным культурным ценностям; </w:t>
      </w:r>
    </w:p>
    <w:p w:rsidR="000513B8" w:rsidRPr="000513B8" w:rsidRDefault="000513B8" w:rsidP="000513B8">
      <w:pPr>
        <w:pStyle w:val="a3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 xml:space="preserve">реализация профильного образования; </w:t>
      </w:r>
    </w:p>
    <w:p w:rsidR="000513B8" w:rsidRPr="000513B8" w:rsidRDefault="000513B8" w:rsidP="000513B8">
      <w:pPr>
        <w:pStyle w:val="a3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 xml:space="preserve">реализация образовательных потребностей в системе непрерывного образования; </w:t>
      </w:r>
    </w:p>
    <w:p w:rsidR="000513B8" w:rsidRPr="000513B8" w:rsidRDefault="000513B8" w:rsidP="000513B8">
      <w:pPr>
        <w:pStyle w:val="a3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>реализация творческих возможностей в открытой системе дополнительного образования.</w:t>
      </w:r>
    </w:p>
    <w:p w:rsidR="000513B8" w:rsidRPr="000513B8" w:rsidRDefault="000513B8" w:rsidP="000513B8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 xml:space="preserve">для педагогов: </w:t>
      </w:r>
    </w:p>
    <w:p w:rsidR="000513B8" w:rsidRPr="000513B8" w:rsidRDefault="000513B8" w:rsidP="000513B8">
      <w:pPr>
        <w:pStyle w:val="a3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 xml:space="preserve">расширение возможностей профессионального роста и самообразования; </w:t>
      </w:r>
    </w:p>
    <w:p w:rsidR="000513B8" w:rsidRPr="000513B8" w:rsidRDefault="000513B8" w:rsidP="000513B8">
      <w:pPr>
        <w:pStyle w:val="a3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 xml:space="preserve">возможность реализовать на практике принципы личностно-ориентированного образования; </w:t>
      </w:r>
    </w:p>
    <w:p w:rsidR="000513B8" w:rsidRPr="000513B8" w:rsidRDefault="000513B8" w:rsidP="000513B8">
      <w:pPr>
        <w:pStyle w:val="a3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 xml:space="preserve">возможность профессионального общения в рамках информационно- коммуникативной среды; </w:t>
      </w:r>
    </w:p>
    <w:p w:rsidR="000513B8" w:rsidRPr="000513B8" w:rsidRDefault="000513B8" w:rsidP="000513B8">
      <w:pPr>
        <w:pStyle w:val="a3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>расширение возможностей для постоянного творческого, культурного развития независимо от места проживания и работы;</w:t>
      </w:r>
    </w:p>
    <w:p w:rsidR="000513B8" w:rsidRPr="000513B8" w:rsidRDefault="000513B8" w:rsidP="000513B8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 xml:space="preserve"> для руководителей: </w:t>
      </w:r>
    </w:p>
    <w:p w:rsidR="000513B8" w:rsidRPr="000513B8" w:rsidRDefault="000513B8" w:rsidP="000513B8">
      <w:pPr>
        <w:pStyle w:val="a3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 xml:space="preserve">расширение возможностей для профессионального и личностного развития; </w:t>
      </w:r>
    </w:p>
    <w:p w:rsidR="000513B8" w:rsidRPr="000513B8" w:rsidRDefault="000513B8" w:rsidP="000513B8">
      <w:pPr>
        <w:pStyle w:val="a3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 xml:space="preserve">повышение возможностей для выработки качественных управленческих решений; </w:t>
      </w:r>
    </w:p>
    <w:p w:rsidR="000513B8" w:rsidRPr="000513B8" w:rsidRDefault="000513B8" w:rsidP="000513B8">
      <w:pPr>
        <w:pStyle w:val="a3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 xml:space="preserve">развитие условий для демократизации управления; </w:t>
      </w:r>
    </w:p>
    <w:p w:rsidR="000513B8" w:rsidRPr="000513B8" w:rsidRDefault="000513B8" w:rsidP="000513B8">
      <w:pPr>
        <w:pStyle w:val="a3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 xml:space="preserve">совершенствование аналитической базы управления. </w:t>
      </w:r>
    </w:p>
    <w:p w:rsidR="000513B8" w:rsidRPr="000513B8" w:rsidRDefault="000513B8" w:rsidP="000513B8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 xml:space="preserve">для родителей (законных представителей), общественности: </w:t>
      </w:r>
    </w:p>
    <w:p w:rsidR="000513B8" w:rsidRPr="000513B8" w:rsidRDefault="000513B8" w:rsidP="000513B8">
      <w:pPr>
        <w:pStyle w:val="a3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 xml:space="preserve">расширение доступа к информации о состоянии и качестве образования, возможностей участия в образовательной деятельности; </w:t>
      </w:r>
    </w:p>
    <w:p w:rsidR="000513B8" w:rsidRPr="000513B8" w:rsidRDefault="000513B8" w:rsidP="000513B8">
      <w:pPr>
        <w:pStyle w:val="a3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 xml:space="preserve">развитие информационной культуры граждан; </w:t>
      </w:r>
    </w:p>
    <w:p w:rsidR="000513B8" w:rsidRPr="000513B8" w:rsidRDefault="000513B8" w:rsidP="000513B8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 xml:space="preserve">для образовательной </w:t>
      </w:r>
      <w:r w:rsidRPr="000513B8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 w:rsidRPr="000513B8">
        <w:rPr>
          <w:rFonts w:ascii="Times New Roman" w:hAnsi="Times New Roman"/>
          <w:sz w:val="24"/>
          <w:szCs w:val="24"/>
        </w:rPr>
        <w:t xml:space="preserve">: </w:t>
      </w:r>
    </w:p>
    <w:p w:rsidR="000513B8" w:rsidRPr="000513B8" w:rsidRDefault="000513B8" w:rsidP="000513B8">
      <w:pPr>
        <w:pStyle w:val="a3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lastRenderedPageBreak/>
        <w:t xml:space="preserve">развитие форм и методов организации образовательной деятельности дистанционного образования как условия непрерывного образования; </w:t>
      </w:r>
    </w:p>
    <w:p w:rsidR="000513B8" w:rsidRPr="000513B8" w:rsidRDefault="000513B8" w:rsidP="000513B8">
      <w:pPr>
        <w:pStyle w:val="a3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>индивидуализация образовательной деятельности;</w:t>
      </w:r>
    </w:p>
    <w:p w:rsidR="000513B8" w:rsidRPr="000513B8" w:rsidRDefault="000513B8" w:rsidP="000513B8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 xml:space="preserve">для Школы: </w:t>
      </w:r>
    </w:p>
    <w:p w:rsidR="000513B8" w:rsidRPr="000513B8" w:rsidRDefault="000513B8" w:rsidP="000513B8">
      <w:pPr>
        <w:pStyle w:val="a3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 xml:space="preserve">развитие информационного пространства в Школе; </w:t>
      </w:r>
    </w:p>
    <w:p w:rsidR="000513B8" w:rsidRPr="000513B8" w:rsidRDefault="000513B8" w:rsidP="000513B8">
      <w:pPr>
        <w:pStyle w:val="a3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 xml:space="preserve">профильное обучение на основе социального партнерства и сетевого взаимодействия ОУ; </w:t>
      </w:r>
    </w:p>
    <w:p w:rsidR="000513B8" w:rsidRPr="000513B8" w:rsidRDefault="000513B8" w:rsidP="000513B8">
      <w:pPr>
        <w:pStyle w:val="a3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0513B8">
        <w:rPr>
          <w:rFonts w:ascii="Times New Roman" w:hAnsi="Times New Roman"/>
          <w:sz w:val="24"/>
          <w:szCs w:val="24"/>
        </w:rPr>
        <w:t>реализация условий для создания открытой системы дополнительного образования, для развития системы непрерывного образования.</w:t>
      </w: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B8">
        <w:rPr>
          <w:rFonts w:ascii="Times New Roman" w:hAnsi="Times New Roman" w:cs="Times New Roman"/>
          <w:b/>
          <w:i/>
          <w:sz w:val="24"/>
          <w:szCs w:val="24"/>
        </w:rPr>
        <w:t>Критериями</w:t>
      </w:r>
      <w:r w:rsidRPr="000513B8">
        <w:rPr>
          <w:rFonts w:ascii="Times New Roman" w:hAnsi="Times New Roman" w:cs="Times New Roman"/>
          <w:sz w:val="24"/>
          <w:szCs w:val="24"/>
        </w:rPr>
        <w:t xml:space="preserve"> эффективности проекта являются требования, предъявляемые к образовательным сетям:</w:t>
      </w: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B8">
        <w:rPr>
          <w:rFonts w:ascii="Times New Roman" w:hAnsi="Times New Roman" w:cs="Times New Roman"/>
          <w:i/>
          <w:sz w:val="24"/>
          <w:szCs w:val="24"/>
        </w:rPr>
        <w:t>По мощности</w:t>
      </w:r>
      <w:r w:rsidRPr="000513B8">
        <w:rPr>
          <w:rFonts w:ascii="Times New Roman" w:hAnsi="Times New Roman" w:cs="Times New Roman"/>
          <w:sz w:val="24"/>
          <w:szCs w:val="24"/>
        </w:rPr>
        <w:t xml:space="preserve"> – обладать мощностью, достаточной для получения </w:t>
      </w:r>
      <w:proofErr w:type="spellStart"/>
      <w:r w:rsidRPr="000513B8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0513B8">
        <w:rPr>
          <w:rFonts w:ascii="Times New Roman" w:hAnsi="Times New Roman" w:cs="Times New Roman"/>
          <w:sz w:val="24"/>
          <w:szCs w:val="24"/>
        </w:rPr>
        <w:t xml:space="preserve"> подготовки обучающимися 9-х классов, профильного обучения желающими обучающимися 10-11-х классов;</w:t>
      </w: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B8">
        <w:rPr>
          <w:rFonts w:ascii="Times New Roman" w:hAnsi="Times New Roman" w:cs="Times New Roman"/>
          <w:i/>
          <w:sz w:val="24"/>
          <w:szCs w:val="24"/>
        </w:rPr>
        <w:t>По полноте предлагаемых услуг</w:t>
      </w:r>
      <w:r w:rsidRPr="000513B8">
        <w:rPr>
          <w:rFonts w:ascii="Times New Roman" w:hAnsi="Times New Roman" w:cs="Times New Roman"/>
          <w:sz w:val="24"/>
          <w:szCs w:val="24"/>
        </w:rPr>
        <w:t xml:space="preserve"> – в учебные планы </w:t>
      </w:r>
      <w:proofErr w:type="spellStart"/>
      <w:r w:rsidRPr="000513B8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0513B8">
        <w:rPr>
          <w:rFonts w:ascii="Times New Roman" w:hAnsi="Times New Roman" w:cs="Times New Roman"/>
          <w:sz w:val="24"/>
          <w:szCs w:val="24"/>
        </w:rPr>
        <w:t xml:space="preserve"> подготовки должны быть включены курсы по выбору всех трех видов (предметные, </w:t>
      </w:r>
      <w:proofErr w:type="spellStart"/>
      <w:r w:rsidRPr="000513B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513B8">
        <w:rPr>
          <w:rFonts w:ascii="Times New Roman" w:hAnsi="Times New Roman" w:cs="Times New Roman"/>
          <w:sz w:val="24"/>
          <w:szCs w:val="24"/>
        </w:rPr>
        <w:t xml:space="preserve">, ориентационные), по всем избираемым обучающимися профилям среднего общего образования, где предложенные профили соответствуют с образовательными потребностями обучающихся и предоставлена возможность пройти </w:t>
      </w:r>
      <w:proofErr w:type="spellStart"/>
      <w:r w:rsidRPr="000513B8">
        <w:rPr>
          <w:rFonts w:ascii="Times New Roman" w:hAnsi="Times New Roman" w:cs="Times New Roman"/>
          <w:sz w:val="24"/>
          <w:szCs w:val="24"/>
        </w:rPr>
        <w:t>довузовскую</w:t>
      </w:r>
      <w:proofErr w:type="spellEnd"/>
      <w:r w:rsidRPr="000513B8">
        <w:rPr>
          <w:rFonts w:ascii="Times New Roman" w:hAnsi="Times New Roman" w:cs="Times New Roman"/>
          <w:sz w:val="24"/>
          <w:szCs w:val="24"/>
        </w:rPr>
        <w:t xml:space="preserve"> подготовку по предметам гуманитарного и физико-математического циклов.</w:t>
      </w: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B8">
        <w:rPr>
          <w:rFonts w:ascii="Times New Roman" w:hAnsi="Times New Roman" w:cs="Times New Roman"/>
          <w:i/>
          <w:sz w:val="24"/>
          <w:szCs w:val="24"/>
        </w:rPr>
        <w:t>По вариативности</w:t>
      </w:r>
      <w:r w:rsidRPr="000513B8">
        <w:rPr>
          <w:rFonts w:ascii="Times New Roman" w:hAnsi="Times New Roman" w:cs="Times New Roman"/>
          <w:sz w:val="24"/>
          <w:szCs w:val="24"/>
        </w:rPr>
        <w:t xml:space="preserve"> – обладать таким количеством образовательных услуг (курсов по выбору, профильных предметов, курсов </w:t>
      </w:r>
      <w:proofErr w:type="spellStart"/>
      <w:r w:rsidRPr="000513B8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Pr="000513B8">
        <w:rPr>
          <w:rFonts w:ascii="Times New Roman" w:hAnsi="Times New Roman" w:cs="Times New Roman"/>
          <w:sz w:val="24"/>
          <w:szCs w:val="24"/>
        </w:rPr>
        <w:t xml:space="preserve"> подготовки), чтобы у обучающихся был выбор места, продолжительности изучения курса, режима занятий (особенно по востребованным направлениям обучения).</w:t>
      </w: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B8">
        <w:rPr>
          <w:rFonts w:ascii="Times New Roman" w:hAnsi="Times New Roman" w:cs="Times New Roman"/>
          <w:i/>
          <w:sz w:val="24"/>
          <w:szCs w:val="24"/>
        </w:rPr>
        <w:t>По доступности</w:t>
      </w:r>
      <w:r w:rsidRPr="000513B8">
        <w:rPr>
          <w:rFonts w:ascii="Times New Roman" w:hAnsi="Times New Roman" w:cs="Times New Roman"/>
          <w:sz w:val="24"/>
          <w:szCs w:val="24"/>
        </w:rPr>
        <w:t xml:space="preserve"> – непосредственная или «виртуальная» близость для обучающихся места проведения и курсов </w:t>
      </w:r>
      <w:proofErr w:type="spellStart"/>
      <w:r w:rsidRPr="000513B8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Pr="000513B8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B8">
        <w:rPr>
          <w:rFonts w:ascii="Times New Roman" w:hAnsi="Times New Roman" w:cs="Times New Roman"/>
          <w:i/>
          <w:sz w:val="24"/>
          <w:szCs w:val="24"/>
        </w:rPr>
        <w:t>По гибкости</w:t>
      </w:r>
      <w:r w:rsidRPr="000513B8">
        <w:rPr>
          <w:rFonts w:ascii="Times New Roman" w:hAnsi="Times New Roman" w:cs="Times New Roman"/>
          <w:sz w:val="24"/>
          <w:szCs w:val="24"/>
        </w:rPr>
        <w:t xml:space="preserve"> – возможность быстрой и экономической перестройки в соответствии с изменением ситуации.</w:t>
      </w: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B8">
        <w:rPr>
          <w:rFonts w:ascii="Times New Roman" w:hAnsi="Times New Roman" w:cs="Times New Roman"/>
          <w:i/>
          <w:sz w:val="24"/>
          <w:szCs w:val="24"/>
        </w:rPr>
        <w:t>По надежности функционирования</w:t>
      </w:r>
      <w:r w:rsidRPr="000513B8">
        <w:rPr>
          <w:rFonts w:ascii="Times New Roman" w:hAnsi="Times New Roman" w:cs="Times New Roman"/>
          <w:sz w:val="24"/>
          <w:szCs w:val="24"/>
        </w:rPr>
        <w:t xml:space="preserve"> – отсутствие сбоев, максимальное и качественное удовлетворение образовательных потребностей обучающихся.</w:t>
      </w: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3B8">
        <w:rPr>
          <w:rFonts w:ascii="Times New Roman" w:hAnsi="Times New Roman" w:cs="Times New Roman"/>
          <w:b/>
          <w:i/>
          <w:sz w:val="24"/>
          <w:szCs w:val="24"/>
        </w:rPr>
        <w:t>Результаты и продукты реализации проекта:</w:t>
      </w:r>
    </w:p>
    <w:p w:rsidR="000513B8" w:rsidRPr="000513B8" w:rsidRDefault="000513B8" w:rsidP="000513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0513B8" w:rsidRPr="000513B8" w:rsidTr="009F6859">
        <w:tc>
          <w:tcPr>
            <w:tcW w:w="4785" w:type="dxa"/>
          </w:tcPr>
          <w:p w:rsidR="000513B8" w:rsidRPr="000513B8" w:rsidRDefault="000513B8" w:rsidP="009F6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3B8">
              <w:rPr>
                <w:rFonts w:ascii="Times New Roman" w:hAnsi="Times New Roman" w:cs="Times New Roman"/>
                <w:sz w:val="20"/>
                <w:szCs w:val="20"/>
              </w:rPr>
              <w:t>Результаты проекта</w:t>
            </w:r>
          </w:p>
        </w:tc>
        <w:tc>
          <w:tcPr>
            <w:tcW w:w="4785" w:type="dxa"/>
          </w:tcPr>
          <w:p w:rsidR="000513B8" w:rsidRPr="000513B8" w:rsidRDefault="000513B8" w:rsidP="009F6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3B8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</w:p>
        </w:tc>
      </w:tr>
      <w:tr w:rsidR="000513B8" w:rsidRPr="000513B8" w:rsidTr="009F6859">
        <w:tc>
          <w:tcPr>
            <w:tcW w:w="4785" w:type="dxa"/>
          </w:tcPr>
          <w:p w:rsidR="000513B8" w:rsidRPr="000513B8" w:rsidRDefault="000513B8" w:rsidP="009F6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3B8">
              <w:rPr>
                <w:rFonts w:ascii="Times New Roman" w:hAnsi="Times New Roman" w:cs="Times New Roman"/>
                <w:sz w:val="20"/>
                <w:szCs w:val="20"/>
              </w:rPr>
              <w:t>Сетевая модель организации ресурсного центра среднего общего образования</w:t>
            </w:r>
          </w:p>
        </w:tc>
        <w:tc>
          <w:tcPr>
            <w:tcW w:w="4785" w:type="dxa"/>
          </w:tcPr>
          <w:p w:rsidR="000513B8" w:rsidRPr="000513B8" w:rsidRDefault="000513B8" w:rsidP="009F6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3B8">
              <w:rPr>
                <w:rFonts w:ascii="Times New Roman" w:hAnsi="Times New Roman" w:cs="Times New Roman"/>
                <w:sz w:val="20"/>
                <w:szCs w:val="20"/>
              </w:rPr>
              <w:t>Алгоритм проектирования муниципальной образовательной сети на базе ресурсного центра; образовательная карта; сетевой учебный план; сетевое расписание курсов.</w:t>
            </w:r>
          </w:p>
        </w:tc>
      </w:tr>
      <w:tr w:rsidR="000513B8" w:rsidRPr="000513B8" w:rsidTr="009F6859">
        <w:tc>
          <w:tcPr>
            <w:tcW w:w="4785" w:type="dxa"/>
          </w:tcPr>
          <w:p w:rsidR="000513B8" w:rsidRPr="000513B8" w:rsidRDefault="000513B8" w:rsidP="009F6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3B8">
              <w:rPr>
                <w:rFonts w:ascii="Times New Roman" w:hAnsi="Times New Roman" w:cs="Times New Roman"/>
                <w:sz w:val="20"/>
                <w:szCs w:val="20"/>
              </w:rPr>
              <w:t>Выявление образовательных потребностей обучающихся с учетом социально-экономических условий города Салехарда.</w:t>
            </w:r>
          </w:p>
        </w:tc>
        <w:tc>
          <w:tcPr>
            <w:tcW w:w="4785" w:type="dxa"/>
          </w:tcPr>
          <w:p w:rsidR="000513B8" w:rsidRPr="000513B8" w:rsidRDefault="000513B8" w:rsidP="009F6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3B8">
              <w:rPr>
                <w:rFonts w:ascii="Times New Roman" w:hAnsi="Times New Roman" w:cs="Times New Roman"/>
                <w:sz w:val="20"/>
                <w:szCs w:val="20"/>
              </w:rPr>
              <w:t>Отчет о результатах соответствующего маркетингового исследования.</w:t>
            </w:r>
          </w:p>
        </w:tc>
      </w:tr>
      <w:tr w:rsidR="000513B8" w:rsidRPr="000513B8" w:rsidTr="009F6859">
        <w:tc>
          <w:tcPr>
            <w:tcW w:w="4785" w:type="dxa"/>
          </w:tcPr>
          <w:p w:rsidR="000513B8" w:rsidRPr="000513B8" w:rsidRDefault="000513B8" w:rsidP="009F6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3B8">
              <w:rPr>
                <w:rFonts w:ascii="Times New Roman" w:hAnsi="Times New Roman" w:cs="Times New Roman"/>
                <w:sz w:val="20"/>
                <w:szCs w:val="20"/>
              </w:rPr>
              <w:t>Корпус педагогических кадров, способных разрабатывать и реализовывать курсы по выбору, элективные и профильные курсы.</w:t>
            </w:r>
          </w:p>
        </w:tc>
        <w:tc>
          <w:tcPr>
            <w:tcW w:w="4785" w:type="dxa"/>
          </w:tcPr>
          <w:p w:rsidR="000513B8" w:rsidRPr="000513B8" w:rsidRDefault="000513B8" w:rsidP="009F6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3B8">
              <w:rPr>
                <w:rFonts w:ascii="Times New Roman" w:hAnsi="Times New Roman" w:cs="Times New Roman"/>
                <w:sz w:val="20"/>
                <w:szCs w:val="20"/>
              </w:rPr>
              <w:t xml:space="preserve">Банк педагогических кадров, реализующих </w:t>
            </w:r>
            <w:proofErr w:type="spellStart"/>
            <w:r w:rsidRPr="000513B8">
              <w:rPr>
                <w:rFonts w:ascii="Times New Roman" w:hAnsi="Times New Roman" w:cs="Times New Roman"/>
                <w:sz w:val="20"/>
                <w:szCs w:val="20"/>
              </w:rPr>
              <w:t>предпрофильную</w:t>
            </w:r>
            <w:proofErr w:type="spellEnd"/>
            <w:r w:rsidRPr="000513B8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подготовку, профильное обучение, </w:t>
            </w:r>
            <w:proofErr w:type="spellStart"/>
            <w:r w:rsidRPr="000513B8">
              <w:rPr>
                <w:rFonts w:ascii="Times New Roman" w:hAnsi="Times New Roman" w:cs="Times New Roman"/>
                <w:sz w:val="20"/>
                <w:szCs w:val="20"/>
              </w:rPr>
              <w:t>довузовскую</w:t>
            </w:r>
            <w:proofErr w:type="spellEnd"/>
            <w:r w:rsidRPr="000513B8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подготовку.</w:t>
            </w:r>
          </w:p>
        </w:tc>
      </w:tr>
      <w:tr w:rsidR="000513B8" w:rsidRPr="000513B8" w:rsidTr="009F6859">
        <w:tc>
          <w:tcPr>
            <w:tcW w:w="4785" w:type="dxa"/>
          </w:tcPr>
          <w:p w:rsidR="000513B8" w:rsidRPr="000513B8" w:rsidRDefault="000513B8" w:rsidP="009F6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3B8">
              <w:rPr>
                <w:rFonts w:ascii="Times New Roman" w:hAnsi="Times New Roman" w:cs="Times New Roman"/>
                <w:sz w:val="20"/>
                <w:szCs w:val="20"/>
              </w:rPr>
              <w:t>Инвентаризация и кооперация образовательных (учебно-методических) ресурсов на базе ресурсного центра.</w:t>
            </w:r>
          </w:p>
        </w:tc>
        <w:tc>
          <w:tcPr>
            <w:tcW w:w="4785" w:type="dxa"/>
          </w:tcPr>
          <w:p w:rsidR="000513B8" w:rsidRPr="000513B8" w:rsidRDefault="000513B8" w:rsidP="009F6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3B8">
              <w:rPr>
                <w:rFonts w:ascii="Times New Roman" w:hAnsi="Times New Roman" w:cs="Times New Roman"/>
                <w:sz w:val="20"/>
                <w:szCs w:val="20"/>
              </w:rPr>
              <w:t>Банк курсов по выбору, элективных и профильных курсов</w:t>
            </w:r>
          </w:p>
        </w:tc>
      </w:tr>
      <w:tr w:rsidR="000513B8" w:rsidRPr="000513B8" w:rsidTr="009F6859">
        <w:tc>
          <w:tcPr>
            <w:tcW w:w="4785" w:type="dxa"/>
          </w:tcPr>
          <w:p w:rsidR="000513B8" w:rsidRPr="000513B8" w:rsidRDefault="000513B8" w:rsidP="009F6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3B8">
              <w:rPr>
                <w:rFonts w:ascii="Times New Roman" w:hAnsi="Times New Roman" w:cs="Times New Roman"/>
                <w:sz w:val="20"/>
                <w:szCs w:val="20"/>
              </w:rPr>
              <w:t>Единая информационная база образовательной сети.</w:t>
            </w:r>
          </w:p>
        </w:tc>
        <w:tc>
          <w:tcPr>
            <w:tcW w:w="4785" w:type="dxa"/>
          </w:tcPr>
          <w:p w:rsidR="000513B8" w:rsidRPr="000513B8" w:rsidRDefault="000513B8" w:rsidP="009F6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3B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материалы на сайтах </w:t>
            </w:r>
          </w:p>
        </w:tc>
      </w:tr>
      <w:tr w:rsidR="000513B8" w:rsidRPr="000513B8" w:rsidTr="009F6859">
        <w:tc>
          <w:tcPr>
            <w:tcW w:w="4785" w:type="dxa"/>
          </w:tcPr>
          <w:p w:rsidR="000513B8" w:rsidRPr="000513B8" w:rsidRDefault="000513B8" w:rsidP="009F6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3B8">
              <w:rPr>
                <w:rFonts w:ascii="Times New Roman" w:hAnsi="Times New Roman" w:cs="Times New Roman"/>
                <w:sz w:val="20"/>
                <w:szCs w:val="20"/>
              </w:rPr>
              <w:t>Организационное, нормативно-правовое, научно-методическое, информационное и технологическое обеспечение образовательной деятельности.</w:t>
            </w:r>
          </w:p>
        </w:tc>
        <w:tc>
          <w:tcPr>
            <w:tcW w:w="4785" w:type="dxa"/>
          </w:tcPr>
          <w:p w:rsidR="000513B8" w:rsidRPr="000513B8" w:rsidRDefault="000513B8" w:rsidP="009F6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3B8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по вопросам организации и обеспечения </w:t>
            </w:r>
            <w:proofErr w:type="spellStart"/>
            <w:r w:rsidRPr="000513B8">
              <w:rPr>
                <w:rFonts w:ascii="Times New Roman" w:hAnsi="Times New Roman" w:cs="Times New Roman"/>
                <w:sz w:val="20"/>
                <w:szCs w:val="20"/>
              </w:rPr>
              <w:t>предпрофильной</w:t>
            </w:r>
            <w:proofErr w:type="spellEnd"/>
            <w:r w:rsidRPr="000513B8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и профильного обучения </w:t>
            </w:r>
          </w:p>
        </w:tc>
      </w:tr>
    </w:tbl>
    <w:p w:rsidR="000513B8" w:rsidRPr="000513B8" w:rsidRDefault="000513B8" w:rsidP="00051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3B8">
        <w:rPr>
          <w:rFonts w:ascii="Times New Roman" w:hAnsi="Times New Roman" w:cs="Times New Roman"/>
          <w:b/>
          <w:i/>
          <w:sz w:val="24"/>
          <w:szCs w:val="24"/>
        </w:rPr>
        <w:t>Риски.</w:t>
      </w:r>
      <w:r w:rsidRPr="00051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3B8">
        <w:rPr>
          <w:rFonts w:ascii="Times New Roman" w:hAnsi="Times New Roman" w:cs="Times New Roman"/>
          <w:sz w:val="24"/>
          <w:szCs w:val="24"/>
        </w:rPr>
        <w:t xml:space="preserve">Процесс </w:t>
      </w:r>
      <w:proofErr w:type="spellStart"/>
      <w:r w:rsidRPr="000513B8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0513B8">
        <w:rPr>
          <w:rFonts w:ascii="Times New Roman" w:hAnsi="Times New Roman" w:cs="Times New Roman"/>
          <w:sz w:val="24"/>
          <w:szCs w:val="24"/>
        </w:rPr>
        <w:t xml:space="preserve"> и организации </w:t>
      </w:r>
      <w:proofErr w:type="spellStart"/>
      <w:r w:rsidRPr="000513B8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Pr="000513B8">
        <w:rPr>
          <w:rFonts w:ascii="Times New Roman" w:hAnsi="Times New Roman" w:cs="Times New Roman"/>
          <w:sz w:val="24"/>
          <w:szCs w:val="24"/>
        </w:rPr>
        <w:t xml:space="preserve"> подготовки могут затормозить психологические барьеры по отношению к нововведениям или сопротивление.</w:t>
      </w:r>
    </w:p>
    <w:p w:rsidR="000513B8" w:rsidRPr="000513B8" w:rsidRDefault="000513B8" w:rsidP="000513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Продукт деятельности </w:t>
      </w:r>
    </w:p>
    <w:p w:rsidR="000513B8" w:rsidRPr="000513B8" w:rsidRDefault="000513B8" w:rsidP="000513B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материалы (сборники разработок мастер-классов, открытых уроков с использованием дистанционных форм обучения и Интернет ресурсов). </w:t>
      </w:r>
    </w:p>
    <w:p w:rsidR="000513B8" w:rsidRPr="000513B8" w:rsidRDefault="000513B8" w:rsidP="000513B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513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Документы, определяющие реализацию профильного обучения в школах (образовательные Программы, учебные планы).</w:t>
      </w:r>
    </w:p>
    <w:p w:rsidR="000513B8" w:rsidRPr="000513B8" w:rsidRDefault="000513B8" w:rsidP="000513B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513B8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0513B8">
        <w:rPr>
          <w:rFonts w:ascii="Times New Roman" w:hAnsi="Times New Roman" w:cs="Times New Roman"/>
          <w:sz w:val="24"/>
          <w:szCs w:val="24"/>
        </w:rPr>
        <w:t>-сайт для интерактивного общения и оперативной информации.</w:t>
      </w:r>
    </w:p>
    <w:p w:rsidR="000513B8" w:rsidRPr="000513B8" w:rsidRDefault="000513B8" w:rsidP="000513B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Ежегодное </w:t>
      </w:r>
      <w:proofErr w:type="spellStart"/>
      <w:r w:rsidRPr="00051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</w:p>
    <w:p w:rsidR="005F6B5E" w:rsidRPr="000513B8" w:rsidRDefault="005F6B5E"/>
    <w:sectPr w:rsidR="005F6B5E" w:rsidRPr="0005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B98" w:rsidRDefault="00672B98" w:rsidP="000513B8">
      <w:pPr>
        <w:spacing w:after="0" w:line="240" w:lineRule="auto"/>
      </w:pPr>
      <w:r>
        <w:separator/>
      </w:r>
    </w:p>
  </w:endnote>
  <w:endnote w:type="continuationSeparator" w:id="0">
    <w:p w:rsidR="00672B98" w:rsidRDefault="00672B98" w:rsidP="0005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B98" w:rsidRDefault="00672B98" w:rsidP="000513B8">
      <w:pPr>
        <w:spacing w:after="0" w:line="240" w:lineRule="auto"/>
      </w:pPr>
      <w:r>
        <w:separator/>
      </w:r>
    </w:p>
  </w:footnote>
  <w:footnote w:type="continuationSeparator" w:id="0">
    <w:p w:rsidR="00672B98" w:rsidRDefault="00672B98" w:rsidP="000513B8">
      <w:pPr>
        <w:spacing w:after="0" w:line="240" w:lineRule="auto"/>
      </w:pPr>
      <w:r>
        <w:continuationSeparator/>
      </w:r>
    </w:p>
  </w:footnote>
  <w:footnote w:id="1">
    <w:p w:rsidR="000513B8" w:rsidRPr="00C2649D" w:rsidRDefault="000513B8" w:rsidP="000513B8">
      <w:pPr>
        <w:pStyle w:val="a5"/>
        <w:jc w:val="both"/>
        <w:rPr>
          <w:sz w:val="16"/>
          <w:szCs w:val="16"/>
          <w:lang w:eastAsia="ru-RU"/>
        </w:rPr>
      </w:pPr>
      <w:r w:rsidRPr="00C2649D">
        <w:rPr>
          <w:sz w:val="16"/>
          <w:szCs w:val="16"/>
          <w:lang w:eastAsia="ru-RU"/>
        </w:rPr>
        <w:footnoteRef/>
      </w:r>
      <w:r w:rsidRPr="00C2649D">
        <w:rPr>
          <w:sz w:val="16"/>
          <w:szCs w:val="16"/>
          <w:lang w:eastAsia="ru-RU"/>
        </w:rPr>
        <w:t xml:space="preserve"> Концепция долгосрочного социально-экономического развития до 2020 года, Федеральная целевая </w:t>
      </w:r>
      <w:r>
        <w:rPr>
          <w:sz w:val="16"/>
          <w:szCs w:val="16"/>
          <w:lang w:eastAsia="ru-RU"/>
        </w:rPr>
        <w:t xml:space="preserve">программа развития образования </w:t>
      </w:r>
      <w:r w:rsidRPr="00C2649D">
        <w:rPr>
          <w:sz w:val="16"/>
          <w:szCs w:val="16"/>
          <w:lang w:eastAsia="ru-RU"/>
        </w:rPr>
        <w:t>на 2011-2015 гг.</w:t>
      </w:r>
    </w:p>
  </w:footnote>
  <w:footnote w:id="2">
    <w:p w:rsidR="000513B8" w:rsidRPr="00C2649D" w:rsidRDefault="000513B8" w:rsidP="000513B8">
      <w:pPr>
        <w:pStyle w:val="a5"/>
        <w:jc w:val="both"/>
        <w:rPr>
          <w:sz w:val="16"/>
          <w:szCs w:val="16"/>
          <w:lang w:eastAsia="ru-RU"/>
        </w:rPr>
      </w:pPr>
      <w:r w:rsidRPr="00C2649D">
        <w:rPr>
          <w:sz w:val="16"/>
          <w:szCs w:val="16"/>
          <w:lang w:eastAsia="ru-RU"/>
        </w:rPr>
        <w:footnoteRef/>
      </w:r>
      <w:r w:rsidRPr="00C2649D">
        <w:rPr>
          <w:sz w:val="16"/>
          <w:szCs w:val="16"/>
          <w:lang w:eastAsia="ru-RU"/>
        </w:rPr>
        <w:t xml:space="preserve"> Федеральный закон от 29 декабря 2012 г. N 273-ФЗ "Об образовании в Российской Федерации" (с изменениями и дополнениями)</w:t>
      </w:r>
    </w:p>
  </w:footnote>
  <w:footnote w:id="3">
    <w:p w:rsidR="000513B8" w:rsidRPr="00C2649D" w:rsidRDefault="000513B8" w:rsidP="000513B8">
      <w:pPr>
        <w:pStyle w:val="a5"/>
        <w:jc w:val="both"/>
        <w:rPr>
          <w:sz w:val="16"/>
          <w:szCs w:val="16"/>
          <w:lang w:eastAsia="ru-RU"/>
        </w:rPr>
      </w:pPr>
      <w:r>
        <w:rPr>
          <w:rStyle w:val="a4"/>
        </w:rPr>
        <w:footnoteRef/>
      </w:r>
      <w:r>
        <w:t xml:space="preserve"> </w:t>
      </w:r>
      <w:r w:rsidRPr="00C2649D">
        <w:rPr>
          <w:sz w:val="16"/>
          <w:szCs w:val="16"/>
          <w:lang w:eastAsia="ru-RU"/>
        </w:rPr>
        <w:t>Сетевое взаимодействие – это система связей, позволяющих разрабатывать, апробировать и предлагать профессиональному педагогическому сообществу инновационные модели содержания образования и управления системой образования; это способ деятельности по совместному использованию ресурсов.</w:t>
      </w:r>
    </w:p>
  </w:footnote>
  <w:footnote w:id="4">
    <w:p w:rsidR="000513B8" w:rsidRPr="00A57EEE" w:rsidRDefault="000513B8" w:rsidP="000513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Style w:val="a4"/>
        </w:rPr>
        <w:footnoteRef/>
      </w:r>
      <w:r>
        <w:t xml:space="preserve"> </w:t>
      </w:r>
      <w:proofErr w:type="spellStart"/>
      <w:r w:rsidRPr="00A57EE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Предпрофильной</w:t>
      </w:r>
      <w:proofErr w:type="spellEnd"/>
      <w:r w:rsidRPr="00A57E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подготовкой является система организации образовательной деятельности на последнем году обучения в основной школе, целью которой выступает информационно-организационное обеспечение осознанного и рационального выбора учащимися профиля обучения в старшей школе.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67208"/>
    <w:multiLevelType w:val="hybridMultilevel"/>
    <w:tmpl w:val="DE8889B4"/>
    <w:lvl w:ilvl="0" w:tplc="32A080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F41F12"/>
    <w:multiLevelType w:val="hybridMultilevel"/>
    <w:tmpl w:val="25AA46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361C9"/>
    <w:multiLevelType w:val="hybridMultilevel"/>
    <w:tmpl w:val="8FA65A64"/>
    <w:lvl w:ilvl="0" w:tplc="D4461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446124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E85055A"/>
    <w:multiLevelType w:val="hybridMultilevel"/>
    <w:tmpl w:val="0D108A2C"/>
    <w:lvl w:ilvl="0" w:tplc="32A080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DE"/>
    <w:rsid w:val="000513B8"/>
    <w:rsid w:val="00174FDE"/>
    <w:rsid w:val="005F6B5E"/>
    <w:rsid w:val="0067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A318"/>
  <w15:chartTrackingRefBased/>
  <w15:docId w15:val="{AA7AEE7A-2627-4650-8DAD-A0D653D2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B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3B8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footnote reference"/>
    <w:uiPriority w:val="99"/>
    <w:rsid w:val="000513B8"/>
    <w:rPr>
      <w:vertAlign w:val="superscript"/>
    </w:rPr>
  </w:style>
  <w:style w:type="paragraph" w:styleId="a5">
    <w:name w:val="footnote text"/>
    <w:aliases w:val="Table_Footnote_last,Текст сноски-FN,Oaeno niinee-FN,Oaeno niinee Ciae,single space,footnote text,Текст сноски Знак1 Знак1,Текст сноски Знак Знак Знак1,Текст сноски Знак1 Знак Знак,Текст сноски Знак Знак Знак Знак"/>
    <w:basedOn w:val="a"/>
    <w:link w:val="a6"/>
    <w:rsid w:val="0005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aliases w:val="Table_Footnote_last Знак,Текст сноски-FN Знак,Oaeno niinee-FN Знак,Oaeno niinee Ciae Знак,single space Знак,footnote text Знак,Текст сноски Знак1 Знак1 Знак,Текст сноски Знак Знак Знак1 Знак,Текст сноски Знак1 Знак Знак Знак"/>
    <w:basedOn w:val="a0"/>
    <w:link w:val="a5"/>
    <w:rsid w:val="000513B8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3683</Words>
  <Characters>20999</Characters>
  <Application>Microsoft Office Word</Application>
  <DocSecurity>0</DocSecurity>
  <Lines>174</Lines>
  <Paragraphs>49</Paragraphs>
  <ScaleCrop>false</ScaleCrop>
  <Company/>
  <LinksUpToDate>false</LinksUpToDate>
  <CharactersWithSpaces>24633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Губогло Зиновия Ивановна</dc:creator>
  <cp:keywords/>
  <dc:description/>
  <cp:lastModifiedBy>Губогло Зиновия Ивановна</cp:lastModifiedBy>
  <cp:revision>2</cp:revision>
  <dcterms:created xsi:type="dcterms:W3CDTF">2021-11-27T08:17:00Z</dcterms:created>
  <dcterms:modified xsi:type="dcterms:W3CDTF">2021-11-27T08:20:00Z</dcterms:modified>
</cp:coreProperties>
</file>