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68" w:rsidRPr="00D63949" w:rsidRDefault="003B3468" w:rsidP="003B3468">
      <w:pPr>
        <w:pStyle w:val="c7"/>
        <w:shd w:val="clear" w:color="auto" w:fill="FFFFFF"/>
        <w:spacing w:before="0" w:beforeAutospacing="0" w:after="0" w:afterAutospacing="0"/>
        <w:jc w:val="center"/>
        <w:rPr>
          <w:rFonts w:ascii="Calibri" w:hAnsi="Calibri" w:cs="Calibri"/>
          <w:i/>
          <w:color w:val="000000"/>
          <w:sz w:val="28"/>
          <w:szCs w:val="28"/>
        </w:rPr>
      </w:pPr>
      <w:r w:rsidRPr="00D63949">
        <w:rPr>
          <w:rStyle w:val="c8"/>
          <w:b/>
          <w:bCs/>
          <w:i/>
          <w:color w:val="000000"/>
          <w:sz w:val="28"/>
          <w:szCs w:val="28"/>
        </w:rPr>
        <w:t>«Влияние игр на развитие детей дошкольного возраста»</w:t>
      </w:r>
    </w:p>
    <w:p w:rsidR="003B3468" w:rsidRPr="00D63949" w:rsidRDefault="003B3468" w:rsidP="003B3468">
      <w:pPr>
        <w:pStyle w:val="c3"/>
        <w:shd w:val="clear" w:color="auto" w:fill="FFFFFF"/>
        <w:spacing w:before="0" w:beforeAutospacing="0" w:after="0" w:afterAutospacing="0"/>
        <w:jc w:val="right"/>
        <w:rPr>
          <w:rFonts w:ascii="Calibri" w:hAnsi="Calibri" w:cs="Calibri"/>
          <w:color w:val="000000"/>
          <w:sz w:val="28"/>
          <w:szCs w:val="28"/>
        </w:rPr>
      </w:pPr>
      <w:r w:rsidRPr="00D63949">
        <w:rPr>
          <w:rStyle w:val="c2"/>
          <w:color w:val="000000"/>
          <w:sz w:val="28"/>
          <w:szCs w:val="28"/>
        </w:rPr>
        <w:t>Игра – это огромное светлое окно, через</w:t>
      </w:r>
      <w:r w:rsidRPr="00D63949">
        <w:rPr>
          <w:color w:val="000000"/>
          <w:sz w:val="28"/>
          <w:szCs w:val="28"/>
        </w:rPr>
        <w:br/>
      </w:r>
      <w:r w:rsidRPr="00D63949">
        <w:rPr>
          <w:rStyle w:val="c2"/>
          <w:color w:val="000000"/>
          <w:sz w:val="28"/>
          <w:szCs w:val="28"/>
        </w:rPr>
        <w:t>которое в духовный мир ребенка</w:t>
      </w:r>
      <w:r w:rsidRPr="00D63949">
        <w:rPr>
          <w:color w:val="000000"/>
          <w:sz w:val="28"/>
          <w:szCs w:val="28"/>
        </w:rPr>
        <w:br/>
      </w:r>
      <w:r w:rsidRPr="00D63949">
        <w:rPr>
          <w:rStyle w:val="c2"/>
          <w:color w:val="000000"/>
          <w:sz w:val="28"/>
          <w:szCs w:val="28"/>
        </w:rPr>
        <w:t>вливается живительный поток представлений,</w:t>
      </w:r>
      <w:r w:rsidRPr="00D63949">
        <w:rPr>
          <w:color w:val="000000"/>
          <w:sz w:val="28"/>
          <w:szCs w:val="28"/>
        </w:rPr>
        <w:br/>
      </w:r>
      <w:r w:rsidRPr="00D63949">
        <w:rPr>
          <w:rStyle w:val="c2"/>
          <w:color w:val="000000"/>
          <w:sz w:val="28"/>
          <w:szCs w:val="28"/>
        </w:rPr>
        <w:t>понятий. Игра – это искра, зажигающая</w:t>
      </w:r>
      <w:r w:rsidRPr="00D63949">
        <w:rPr>
          <w:color w:val="000000"/>
          <w:sz w:val="28"/>
          <w:szCs w:val="28"/>
        </w:rPr>
        <w:br/>
      </w:r>
      <w:r w:rsidRPr="00D63949">
        <w:rPr>
          <w:rStyle w:val="c2"/>
          <w:color w:val="000000"/>
          <w:sz w:val="28"/>
          <w:szCs w:val="28"/>
        </w:rPr>
        <w:t>огонек пытливости и любознательности.</w:t>
      </w:r>
      <w:r w:rsidRPr="00D63949">
        <w:rPr>
          <w:color w:val="000000"/>
          <w:sz w:val="28"/>
          <w:szCs w:val="28"/>
        </w:rPr>
        <w:br/>
      </w:r>
      <w:r w:rsidRPr="00D63949">
        <w:rPr>
          <w:rStyle w:val="c2"/>
          <w:color w:val="000000"/>
          <w:sz w:val="28"/>
          <w:szCs w:val="28"/>
        </w:rPr>
        <w:t>В.А. Сухомлинский</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4"/>
          <w:b/>
          <w:bCs/>
          <w:color w:val="000000"/>
          <w:sz w:val="28"/>
          <w:szCs w:val="28"/>
        </w:rPr>
        <w:t>Игра</w:t>
      </w:r>
      <w:r w:rsidRPr="00D63949">
        <w:rPr>
          <w:rStyle w:val="c2"/>
          <w:color w:val="000000"/>
          <w:sz w:val="28"/>
          <w:szCs w:val="28"/>
        </w:rPr>
        <w:t xml:space="preserve"> –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w:t>
      </w:r>
      <w:proofErr w:type="gramStart"/>
      <w:r w:rsidRPr="00D63949">
        <w:rPr>
          <w:rStyle w:val="c2"/>
          <w:color w:val="000000"/>
          <w:sz w:val="28"/>
          <w:szCs w:val="28"/>
        </w:rPr>
        <w:t>обыденное</w:t>
      </w:r>
      <w:proofErr w:type="gramEnd"/>
      <w:r w:rsidRPr="00D63949">
        <w:rPr>
          <w:rStyle w:val="c2"/>
          <w:color w:val="000000"/>
          <w:sz w:val="28"/>
          <w:szCs w:val="28"/>
        </w:rPr>
        <w:t xml:space="preserve"> становится необычным. А. М. Горький писал: «Игра – путь к познанию мира, в котором они живут и который призваны изменить». </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proofErr w:type="gramStart"/>
      <w:r w:rsidRPr="00D63949">
        <w:rPr>
          <w:rStyle w:val="c4"/>
          <w:b/>
          <w:bCs/>
          <w:color w:val="000000"/>
          <w:sz w:val="28"/>
          <w:szCs w:val="28"/>
        </w:rPr>
        <w:t>Творческие игры</w:t>
      </w:r>
      <w:r w:rsidRPr="00D63949">
        <w:rPr>
          <w:rStyle w:val="c2"/>
          <w:color w:val="000000"/>
          <w:sz w:val="28"/>
          <w:szCs w:val="28"/>
        </w:rPr>
        <w:t> различаются </w:t>
      </w:r>
      <w:r w:rsidRPr="00D63949">
        <w:rPr>
          <w:rStyle w:val="c0"/>
          <w:i/>
          <w:iCs/>
          <w:color w:val="000000"/>
          <w:sz w:val="28"/>
          <w:szCs w:val="28"/>
        </w:rPr>
        <w:t>по содержанию</w:t>
      </w:r>
      <w:r w:rsidRPr="00D63949">
        <w:rPr>
          <w:rStyle w:val="c2"/>
          <w:color w:val="000000"/>
          <w:sz w:val="28"/>
          <w:szCs w:val="28"/>
        </w:rPr>
        <w:t> (отражение быта, труда взрослых, событий общественной жизни); </w:t>
      </w:r>
      <w:r w:rsidRPr="00D63949">
        <w:rPr>
          <w:rStyle w:val="c0"/>
          <w:i/>
          <w:iCs/>
          <w:color w:val="000000"/>
          <w:sz w:val="28"/>
          <w:szCs w:val="28"/>
        </w:rPr>
        <w:t>по организации</w:t>
      </w:r>
      <w:r w:rsidRPr="00D63949">
        <w:rPr>
          <w:rStyle w:val="c2"/>
          <w:color w:val="000000"/>
          <w:sz w:val="28"/>
          <w:szCs w:val="28"/>
        </w:rPr>
        <w:t>, количеству участников (индивидуальные, групповые, коллективные);</w:t>
      </w:r>
      <w:r w:rsidRPr="00D63949">
        <w:rPr>
          <w:rStyle w:val="c0"/>
          <w:i/>
          <w:iCs/>
          <w:color w:val="000000"/>
          <w:sz w:val="28"/>
          <w:szCs w:val="28"/>
        </w:rPr>
        <w:t> по виду</w:t>
      </w:r>
      <w:r w:rsidRPr="00D63949">
        <w:rPr>
          <w:rStyle w:val="c2"/>
          <w:color w:val="000000"/>
          <w:sz w:val="28"/>
          <w:szCs w:val="28"/>
        </w:rPr>
        <w:t> (игры, сюжет которых придумывают сами дети, игры – драматизации – разыгрывание сказок и рассказов, строительные).</w:t>
      </w:r>
      <w:proofErr w:type="gramEnd"/>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Творческая игра служит</w:t>
      </w:r>
      <w:r w:rsidRPr="00D63949">
        <w:rPr>
          <w:rStyle w:val="c0"/>
          <w:i/>
          <w:iCs/>
          <w:color w:val="000000"/>
          <w:sz w:val="28"/>
          <w:szCs w:val="28"/>
        </w:rPr>
        <w:t> поводом для расширения кругозора</w:t>
      </w:r>
      <w:r w:rsidRPr="00D63949">
        <w:rPr>
          <w:rStyle w:val="c2"/>
          <w:color w:val="000000"/>
          <w:sz w:val="28"/>
          <w:szCs w:val="28"/>
        </w:rPr>
        <w:t>.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действия, таким образом, осмысливает их; словом он пользуется и чтобы дополнить действия, выразить свои мысли и чувства.</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lastRenderedPageBreak/>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Во время игры – занятия идёт прямое обучение детей с использованием игровых приёмов действия.</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 xml:space="preserve">Чаще всего дидактическая игра используется при обучении детей математике «Определи соседа», «Засели дом»; родному языку «Какой? Какая? </w:t>
      </w:r>
      <w:proofErr w:type="gramStart"/>
      <w:r w:rsidRPr="00D63949">
        <w:rPr>
          <w:rStyle w:val="c2"/>
          <w:color w:val="000000"/>
          <w:sz w:val="28"/>
          <w:szCs w:val="28"/>
        </w:rPr>
        <w:t>Какое</w:t>
      </w:r>
      <w:proofErr w:type="gramEnd"/>
      <w:r w:rsidRPr="00D63949">
        <w:rPr>
          <w:rStyle w:val="c2"/>
          <w:color w:val="000000"/>
          <w:sz w:val="28"/>
          <w:szCs w:val="28"/>
        </w:rPr>
        <w:t>?», «Один много»…;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пособиям, художественной литературе мы используем знаки мотивации: «Глаз», «Язычок», «Ухо», «Рот»…</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 xml:space="preserve">Привлекают детей к дидактическим играм в речевом мини центре и значки сложности. Они пробуждают у ребят любознательность, инициативность. Так на игре не знакомой, новой сначала ставится знак «Три колокольчика», что означает — игра познавательная, сложная, интересная, новая. По мере усвоения правил игры, когда дети начинают играть самостоятельно, игра востребована, появляется знак сначала «Два колокольчика», затем «Один </w:t>
      </w:r>
      <w:r w:rsidRPr="00D63949">
        <w:rPr>
          <w:rStyle w:val="c2"/>
          <w:color w:val="000000"/>
          <w:sz w:val="28"/>
          <w:szCs w:val="28"/>
        </w:rPr>
        <w:lastRenderedPageBreak/>
        <w:t>колокольчик», что означает игра простая, может использоваться детьми в самостоятельной деятельности.</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 xml:space="preserve">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w:t>
      </w:r>
      <w:proofErr w:type="gramStart"/>
      <w:r w:rsidRPr="00D63949">
        <w:rPr>
          <w:rStyle w:val="c2"/>
          <w:color w:val="000000"/>
          <w:sz w:val="28"/>
          <w:szCs w:val="28"/>
        </w:rPr>
        <w:t>играющих</w:t>
      </w:r>
      <w:proofErr w:type="gramEnd"/>
      <w:r w:rsidRPr="00D63949">
        <w:rPr>
          <w:rStyle w:val="c2"/>
          <w:color w:val="000000"/>
          <w:sz w:val="28"/>
          <w:szCs w:val="28"/>
        </w:rPr>
        <w:t>, определить лучшего.</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 xml:space="preserve">Словесную игру можно использовать как часть фронтального занятия. Детям нравится </w:t>
      </w:r>
      <w:proofErr w:type="gramStart"/>
      <w:r w:rsidRPr="00D63949">
        <w:rPr>
          <w:rStyle w:val="c2"/>
          <w:color w:val="000000"/>
          <w:sz w:val="28"/>
          <w:szCs w:val="28"/>
        </w:rPr>
        <w:t>по</w:t>
      </w:r>
      <w:proofErr w:type="gramEnd"/>
      <w:r w:rsidRPr="00D63949">
        <w:rPr>
          <w:rStyle w:val="c2"/>
          <w:color w:val="000000"/>
          <w:sz w:val="28"/>
          <w:szCs w:val="28"/>
        </w:rPr>
        <w:t xml:space="preserve"> рассуждать </w:t>
      </w:r>
      <w:proofErr w:type="gramStart"/>
      <w:r w:rsidRPr="00D63949">
        <w:rPr>
          <w:rStyle w:val="c2"/>
          <w:color w:val="000000"/>
          <w:sz w:val="28"/>
          <w:szCs w:val="28"/>
        </w:rPr>
        <w:t>во</w:t>
      </w:r>
      <w:proofErr w:type="gramEnd"/>
      <w:r w:rsidRPr="00D63949">
        <w:rPr>
          <w:rStyle w:val="c2"/>
          <w:color w:val="000000"/>
          <w:sz w:val="28"/>
          <w:szCs w:val="28"/>
        </w:rPr>
        <w:t xml:space="preserve"> время игры «Хорошо – плохо», отстаивать свою 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(Сидорчук Т. А., Кузнецова А. Б. Обучение дошкольников творческому рассказыванию по картине), рассказывают что видят, домысливают сюжет, а «Волшебные трубочки» помогают детям конкретизировать рассматриваемый объект, выделяя его из общего поля зрения.</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умение потребуется для отгадывания и придумывания загадок, для правильного описания сюжетной картины.</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lastRenderedPageBreak/>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w:t>
      </w:r>
      <w:proofErr w:type="gramStart"/>
      <w:r w:rsidRPr="00D63949">
        <w:rPr>
          <w:rStyle w:val="c2"/>
          <w:color w:val="000000"/>
          <w:sz w:val="28"/>
          <w:szCs w:val="28"/>
        </w:rPr>
        <w:t>…П</w:t>
      </w:r>
      <w:proofErr w:type="gramEnd"/>
      <w:r w:rsidRPr="00D63949">
        <w:rPr>
          <w:rStyle w:val="c2"/>
          <w:color w:val="000000"/>
          <w:sz w:val="28"/>
          <w:szCs w:val="28"/>
        </w:rPr>
        <w:t>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выражать свои мысли. Чтобы быть понятыми сверстниками дети (коррекционных групп) пытаются контролировать своё звукопроизношение.</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 </w:t>
      </w:r>
      <w:r w:rsidRPr="00D63949">
        <w:rPr>
          <w:rStyle w:val="c4"/>
          <w:b/>
          <w:bCs/>
          <w:color w:val="000000"/>
          <w:sz w:val="28"/>
          <w:szCs w:val="28"/>
        </w:rPr>
        <w:t>Так, например</w:t>
      </w:r>
      <w:r w:rsidRPr="00D63949">
        <w:rPr>
          <w:rStyle w:val="c2"/>
          <w:color w:val="000000"/>
          <w:sz w:val="28"/>
          <w:szCs w:val="28"/>
        </w:rPr>
        <w:t xml:space="preserve"> дидактическая </w:t>
      </w:r>
      <w:proofErr w:type="gramStart"/>
      <w:r w:rsidRPr="00D63949">
        <w:rPr>
          <w:rStyle w:val="c2"/>
          <w:color w:val="000000"/>
          <w:sz w:val="28"/>
          <w:szCs w:val="28"/>
        </w:rPr>
        <w:t>игра</w:t>
      </w:r>
      <w:proofErr w:type="gramEnd"/>
      <w:r w:rsidRPr="00D63949">
        <w:rPr>
          <w:rStyle w:val="c2"/>
          <w:color w:val="000000"/>
          <w:sz w:val="28"/>
          <w:szCs w:val="28"/>
        </w:rPr>
        <w:t xml:space="preserve"> — «У кого </w:t>
      </w:r>
      <w:proofErr w:type="gramStart"/>
      <w:r w:rsidRPr="00D63949">
        <w:rPr>
          <w:rStyle w:val="c2"/>
          <w:color w:val="000000"/>
          <w:sz w:val="28"/>
          <w:szCs w:val="28"/>
        </w:rPr>
        <w:t>какой</w:t>
      </w:r>
      <w:proofErr w:type="gramEnd"/>
      <w:r w:rsidRPr="00D63949">
        <w:rPr>
          <w:rStyle w:val="c2"/>
          <w:color w:val="000000"/>
          <w:sz w:val="28"/>
          <w:szCs w:val="28"/>
        </w:rPr>
        <w:t xml:space="preserve"> предмет?» способствует активизации в речи слов, характеризующих цвет, размер, форму предметов.</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proofErr w:type="gramStart"/>
      <w:r w:rsidRPr="00D63949">
        <w:rPr>
          <w:rStyle w:val="c2"/>
          <w:color w:val="000000"/>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roofErr w:type="gramEnd"/>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w:t>
      </w:r>
      <w:proofErr w:type="gramStart"/>
      <w:r w:rsidRPr="00D63949">
        <w:rPr>
          <w:rStyle w:val="c2"/>
          <w:color w:val="000000"/>
          <w:sz w:val="28"/>
          <w:szCs w:val="28"/>
        </w:rPr>
        <w:t>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roofErr w:type="gramEnd"/>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 xml:space="preserve">Через игру учим детей узнавать и называть цвета и их оттенки «Цветные странички», «Цветное лото», где сначала дети запоминают близкие друг другу по цвета красный – розовый, красный – оранжевый, розовый – сиреневый, далее упражняем детей в различении, назывании светлых, </w:t>
      </w:r>
      <w:r w:rsidRPr="00D63949">
        <w:rPr>
          <w:rStyle w:val="c2"/>
          <w:color w:val="000000"/>
          <w:sz w:val="28"/>
          <w:szCs w:val="28"/>
        </w:rPr>
        <w:lastRenderedPageBreak/>
        <w:t>темных цветов. В ходе игры дети закрепляют обобщающие слова – темные тона, светлые тона…</w:t>
      </w:r>
    </w:p>
    <w:p w:rsidR="003B3468" w:rsidRPr="00D63949" w:rsidRDefault="003B3468" w:rsidP="003B3468">
      <w:pPr>
        <w:pStyle w:val="c1"/>
        <w:shd w:val="clear" w:color="auto" w:fill="FFFFFF"/>
        <w:spacing w:before="0" w:beforeAutospacing="0" w:after="0" w:afterAutospacing="0"/>
        <w:rPr>
          <w:rFonts w:ascii="Calibri" w:hAnsi="Calibri" w:cs="Calibri"/>
          <w:color w:val="000000"/>
          <w:sz w:val="28"/>
          <w:szCs w:val="28"/>
        </w:rPr>
      </w:pPr>
      <w:r w:rsidRPr="00D63949">
        <w:rPr>
          <w:rStyle w:val="c2"/>
          <w:color w:val="000000"/>
          <w:sz w:val="28"/>
          <w:szCs w:val="28"/>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B02E1E" w:rsidRPr="00D63949" w:rsidRDefault="00B02E1E">
      <w:pPr>
        <w:rPr>
          <w:sz w:val="28"/>
          <w:szCs w:val="28"/>
        </w:rPr>
      </w:pPr>
    </w:p>
    <w:p w:rsidR="003B3468" w:rsidRPr="00D63949" w:rsidRDefault="003B3468">
      <w:pPr>
        <w:rPr>
          <w:rStyle w:val="c2"/>
          <w:rFonts w:ascii="Times New Roman" w:eastAsia="Times New Roman" w:hAnsi="Times New Roman" w:cs="Times New Roman"/>
          <w:color w:val="000000"/>
          <w:sz w:val="28"/>
          <w:szCs w:val="28"/>
          <w:lang w:eastAsia="ru-RU"/>
        </w:rPr>
      </w:pPr>
    </w:p>
    <w:sectPr w:rsidR="003B3468" w:rsidRPr="00D63949" w:rsidSect="00B02E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468"/>
    <w:rsid w:val="003B3468"/>
    <w:rsid w:val="008F018E"/>
    <w:rsid w:val="00B02E1E"/>
    <w:rsid w:val="00D63949"/>
    <w:rsid w:val="00E27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3B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B3468"/>
  </w:style>
  <w:style w:type="paragraph" w:customStyle="1" w:styleId="c3">
    <w:name w:val="c3"/>
    <w:basedOn w:val="a"/>
    <w:rsid w:val="003B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B3468"/>
  </w:style>
  <w:style w:type="paragraph" w:customStyle="1" w:styleId="c1">
    <w:name w:val="c1"/>
    <w:basedOn w:val="a"/>
    <w:rsid w:val="003B3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3468"/>
  </w:style>
  <w:style w:type="character" w:customStyle="1" w:styleId="c0">
    <w:name w:val="c0"/>
    <w:basedOn w:val="a0"/>
    <w:rsid w:val="003B3468"/>
  </w:style>
</w:styles>
</file>

<file path=word/webSettings.xml><?xml version="1.0" encoding="utf-8"?>
<w:webSettings xmlns:r="http://schemas.openxmlformats.org/officeDocument/2006/relationships" xmlns:w="http://schemas.openxmlformats.org/wordprocessingml/2006/main">
  <w:divs>
    <w:div w:id="1383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2023-04-05T16:37:00Z</dcterms:created>
  <dcterms:modified xsi:type="dcterms:W3CDTF">2023-04-05T16:39:00Z</dcterms:modified>
</cp:coreProperties>
</file>