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4" w:rsidRPr="00A52B64" w:rsidRDefault="00A52B64" w:rsidP="00A52B64">
      <w:pPr>
        <w:pStyle w:val="a3"/>
        <w:jc w:val="center"/>
        <w:rPr>
          <w:b/>
          <w:color w:val="FF0000"/>
          <w:sz w:val="40"/>
          <w:szCs w:val="40"/>
        </w:rPr>
      </w:pPr>
      <w:r>
        <w:rPr>
          <w:b/>
          <w:color w:val="000000"/>
          <w:sz w:val="40"/>
          <w:szCs w:val="40"/>
        </w:rPr>
        <w:t>«</w:t>
      </w:r>
      <w:r w:rsidRPr="00A52B64">
        <w:rPr>
          <w:b/>
          <w:color w:val="000000"/>
          <w:sz w:val="40"/>
          <w:szCs w:val="40"/>
        </w:rPr>
        <w:t>Предметно-развивающая среда по изобразительной деятельности в группе детского сада</w:t>
      </w:r>
      <w:r>
        <w:rPr>
          <w:b/>
          <w:color w:val="000000"/>
          <w:sz w:val="40"/>
          <w:szCs w:val="40"/>
        </w:rPr>
        <w:t>»</w:t>
      </w:r>
      <w:bookmarkStart w:id="0" w:name="_GoBack"/>
      <w:bookmarkEnd w:id="0"/>
    </w:p>
    <w:p w:rsidR="00101234" w:rsidRP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Автор </w:t>
      </w:r>
      <w:proofErr w:type="spellStart"/>
      <w:r>
        <w:rPr>
          <w:color w:val="000000"/>
          <w:sz w:val="27"/>
          <w:szCs w:val="27"/>
        </w:rPr>
        <w:t>Макаева</w:t>
      </w:r>
      <w:proofErr w:type="spellEnd"/>
      <w:r>
        <w:rPr>
          <w:color w:val="000000"/>
          <w:sz w:val="27"/>
          <w:szCs w:val="27"/>
        </w:rPr>
        <w:t xml:space="preserve"> Н.И., воспитатель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 актуальным вопросом стала организация предметно-развивающей среды в детском саду.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101234" w:rsidRDefault="00F77730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как</w:t>
      </w:r>
      <w:r w:rsidR="00101234">
        <w:rPr>
          <w:color w:val="000000"/>
          <w:sz w:val="27"/>
          <w:szCs w:val="27"/>
        </w:rPr>
        <w:t>,основной формой работы с дошкольниками и ведущим видом деятельности для детей является игра, именно поэтому педагоги-практики испытывают повышенный интерес к обновлению предметно- пространственной среды. Само понятие «предметно-развивающая среда»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ребенка дошкольного возраста есть три основные потребности: в движении, общении, познании. Организовать среду нужно так, чтобы у ребенка был самостоятельный выбор: с кем, где, как, во что играть.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Изобразительная деятельность — одна из самых любимых у детей. Поэтому предметно – развивающая среда центра искусств в группе в современных условиях требует глубокого осмысления, оформления и пополнения с учётом новых требований.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создании предметно-развивающей среды центра искусств в группе следует руководствоваться следующими принципами: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Многофункциональность </w:t>
      </w:r>
      <w:proofErr w:type="gramStart"/>
      <w:r>
        <w:rPr>
          <w:color w:val="000000"/>
          <w:sz w:val="27"/>
          <w:szCs w:val="27"/>
        </w:rPr>
        <w:t>среды :она</w:t>
      </w:r>
      <w:proofErr w:type="gramEnd"/>
      <w:r>
        <w:rPr>
          <w:color w:val="000000"/>
          <w:sz w:val="27"/>
          <w:szCs w:val="27"/>
        </w:rPr>
        <w:t xml:space="preserve"> должна открывать множество возможностей, обеспечивать все составляющие образовательного процесса и использоваться в совместной деятельности взрослого и детей, в самостоятельной деятельности детей и при проведении режимных моментов.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Трансформируемость</w:t>
      </w:r>
      <w:proofErr w:type="spellEnd"/>
      <w:r>
        <w:rPr>
          <w:color w:val="000000"/>
          <w:sz w:val="27"/>
          <w:szCs w:val="27"/>
        </w:rPr>
        <w:t xml:space="preserve"> среды – это возможность изменений, позволяющих, по ситуации, вынести на первый план ту или иную функцию пространства. Например, в ходе НОД с помощью маркеров пространства соответствующее оборудование и материалы центра искусств могут служить музеем, где дети могут пройти с экскурсией по залам живописи, скульптуры или декоративно- </w:t>
      </w:r>
      <w:r>
        <w:rPr>
          <w:color w:val="000000"/>
          <w:sz w:val="27"/>
          <w:szCs w:val="27"/>
        </w:rPr>
        <w:lastRenderedPageBreak/>
        <w:t>прикладного искусства. А уже через несколько минут с помощью маркеров пространства этот же центр превращается в площадку для сюжетно-ролевых игр художественно-творческого содержания в самостоятельной игровой деятельности детей. Во второй половине дня здесь же могут заниматься дети по карточкам для индивидуальной работы или заниматься творчеством по интересам.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Вариативность – предполагающий конкретный вариант предметно-развивающей среды центра искусств для конкретной группы и возраста воспитанников данной группы. Наполняемость и оформление </w:t>
      </w:r>
      <w:proofErr w:type="spellStart"/>
      <w:r>
        <w:rPr>
          <w:color w:val="000000"/>
          <w:sz w:val="27"/>
          <w:szCs w:val="27"/>
        </w:rPr>
        <w:t>изоуголков</w:t>
      </w:r>
      <w:proofErr w:type="spellEnd"/>
      <w:r>
        <w:rPr>
          <w:color w:val="000000"/>
          <w:sz w:val="27"/>
          <w:szCs w:val="27"/>
        </w:rPr>
        <w:t xml:space="preserve"> групп должны иметь свои варианты, в зависимости от возраста детей, периода обучения и возможностей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помещения. В качестве ориентиров для подбора материала и оборудования должны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выступать общие закономерности развития ребёнка на каждом возрастном этапе. Однако, строиться все эти варианты будут вокруг единого стержня требований и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рекомендаций. Важно, чтобы предметная среда центра имела характер открытой, незамкнутой системы, способной к корректировке и развитию. Иначе говоря, среда должна быть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Учёт интеграции образовательных областей – предполагает использование материала и оборудования данного центра в ходе реализации других областей. Например, центр искусств обязательно содержит игры по </w:t>
      </w:r>
      <w:proofErr w:type="spellStart"/>
      <w:r>
        <w:rPr>
          <w:color w:val="000000"/>
          <w:sz w:val="27"/>
          <w:szCs w:val="27"/>
        </w:rPr>
        <w:t>цветоведению</w:t>
      </w:r>
      <w:proofErr w:type="spellEnd"/>
      <w:r>
        <w:rPr>
          <w:color w:val="000000"/>
          <w:sz w:val="27"/>
          <w:szCs w:val="27"/>
        </w:rPr>
        <w:t xml:space="preserve">. Казалось бы, эти игры содержат узко специфическую направленность, однако, это не так. Игры по </w:t>
      </w:r>
      <w:proofErr w:type="spellStart"/>
      <w:r>
        <w:rPr>
          <w:color w:val="000000"/>
          <w:sz w:val="27"/>
          <w:szCs w:val="27"/>
        </w:rPr>
        <w:t>цветоведению</w:t>
      </w:r>
      <w:proofErr w:type="spellEnd"/>
      <w:r>
        <w:rPr>
          <w:color w:val="000000"/>
          <w:sz w:val="27"/>
          <w:szCs w:val="27"/>
        </w:rPr>
        <w:t xml:space="preserve"> гармонично вписываются во все образовательные области и могут быть использованы в непосредственной образовательной деятельности по разным направлениям. Они выполняют целый комплекс развивающих задач, так важных для формирования личности дошкольника. Игры по </w:t>
      </w:r>
      <w:proofErr w:type="spellStart"/>
      <w:r>
        <w:rPr>
          <w:color w:val="000000"/>
          <w:sz w:val="27"/>
          <w:szCs w:val="27"/>
        </w:rPr>
        <w:t>цветоведению</w:t>
      </w:r>
      <w:proofErr w:type="spellEnd"/>
      <w:r>
        <w:rPr>
          <w:color w:val="000000"/>
          <w:sz w:val="27"/>
          <w:szCs w:val="27"/>
        </w:rPr>
        <w:t xml:space="preserve"> направлены и на развитие мелкой моторики рук, и на формирование элементарных математических представлений, и выступают как средство познавательной активности воспитанников.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Или, например, репродукцию из подборки «Жанры живописи» можно использовать как наглядный материал для развития связной речи. Учёт гендерной специфики – предполагает обеспечение среды центра, как общим материалом, так и специфичным материалом для мальчиков и девочек. Это могут быть подборки раскрасок, трафаретов, шаблонов, технологических карт последовательности выполнения изображения и лепки, карточки для индивидуальной работы для мальчиков и девочек.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 реализации вариативной части программы предметно – развивающая среда должна в количественном и качественном отношении отражать наличие приоритетных направлений, специфику национально – культурных, демографических, социально – экономических, климатических и других условий осуществления образовательного процесса. Переводя данную выдержку на центр искусств, мы можем, прежде всего, обратить внимание на оформление этой зоны группы используя национально – культурные мотивы (внешний дизайн, подбор предметов или иллюстраций народных промыслов, игры и тренажёры на мотивы узоров или промыслов народов </w:t>
      </w:r>
      <w:proofErr w:type="gramStart"/>
      <w:r>
        <w:rPr>
          <w:color w:val="000000"/>
          <w:sz w:val="27"/>
          <w:szCs w:val="27"/>
        </w:rPr>
        <w:t>края ,информационная</w:t>
      </w:r>
      <w:proofErr w:type="gramEnd"/>
      <w:r>
        <w:rPr>
          <w:color w:val="000000"/>
          <w:sz w:val="27"/>
          <w:szCs w:val="27"/>
        </w:rPr>
        <w:t>, иллюстрированная подборка о творчестве художников, скульпторах, архитекторах родного края). Материалы и оборудование центра должны создавать оптимально насыщенную (без чрезмерного обилия и недостатка) целостную среду. Следует систематически проводить анализ состояния предметно –развивающей среды центра с целью приведения её в соответствие с гигиеническими, педагогическими и эстетическими требованиями.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создать в группе обстановку для творческой активности детей, способствовать возникновению и развитию самостоятельной художественной деятельности у детей дошкольного возраста.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того, чтобы уголок </w:t>
      </w:r>
      <w:proofErr w:type="spellStart"/>
      <w:r>
        <w:rPr>
          <w:color w:val="000000"/>
          <w:sz w:val="27"/>
          <w:szCs w:val="27"/>
        </w:rPr>
        <w:t>изодеятельности</w:t>
      </w:r>
      <w:proofErr w:type="spellEnd"/>
      <w:r>
        <w:rPr>
          <w:color w:val="000000"/>
          <w:sz w:val="27"/>
          <w:szCs w:val="27"/>
        </w:rPr>
        <w:t xml:space="preserve"> действительно стал центром детского творчества необходимо обратить внимание на условия его оформления и оснащения, а именно: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расположение зоны изобразительного творчества: доступность, эстетичность оформления, универсальность, подвижность, наличие маркеров пространства;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использование детского дизайна в оформлении;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наличие игрового персонажа;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изобразительный материал: разнообразие, возрастные требования, доступность, удобство хранения и использования;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оборудование для рисования (в том числе нетрадиционного), лепки, аппликации, ведро и тряпочка для уборки рабочего места;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работа с цветом (учебно-наглядный материал, дидактические игры);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работа с линией (учебно-наглядный материал, дидактические игры);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различная техника изобразительного творчества (образцы);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развитие композиционных умений, ритма (учебно-наглядный материал, дидактические игры);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§ знакомство с народно-прикладным искусством (учебно-наглядный материал, дидактические игры);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жанры живописи, портреты художников, стили архитектуры, книжная графика с учётом возраста детей;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образцы из глины (игрушки, предметы народного промысла возможны мини-музеи);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уголок художественного ручного труда (образцы тканей, швов, нити, ленты, пяльцы для вышивания, цветные салфетки и др. материал);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наличие технологических карт, схем последовательности рисования, лепки, аппликации с учётом возрастной и гендерной специфики.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Предметно-развивающая среда по изобразительной деятельности в группе детского сада должна содержать: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Уголок красоты: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Репродукции произведениями живописи, скульптура малых форм, произведения графики, книги с красивыми иллюстрациями, подлинные изделия мастеров народно-прикладного искусства; детские энциклопедии по изобразительной деятельности; диски с красивой спокойной мелодией, классической музыкой, магнитофон.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Уголок изобразительной деятельности: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•Книжки-раскраски; картотека нетрадиционных техник рисования; альбомы для рассматривания «Городецкая игрушка», «Хохломская роспись» и др.; альбомы с разными изображениями травы, деревьев, солнца, домов и т.д., дидактические игры для развития творческих способностей, воображения;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•Гуашь, акварельные краски, восковые карандаши, пастельные мелки, восковые мелки, фломастеры, маркеры разной толщины, цветные карандаши, графитные карандаши, набор шариковых ручек, вата, ватные палочки, поролоновые губки, тычки, уголь, сангина, свечки, </w:t>
      </w:r>
      <w:proofErr w:type="spellStart"/>
      <w:r>
        <w:rPr>
          <w:color w:val="000000"/>
          <w:sz w:val="27"/>
          <w:szCs w:val="27"/>
        </w:rPr>
        <w:t>коктельные</w:t>
      </w:r>
      <w:proofErr w:type="spellEnd"/>
      <w:r>
        <w:rPr>
          <w:color w:val="000000"/>
          <w:sz w:val="27"/>
          <w:szCs w:val="27"/>
        </w:rPr>
        <w:t xml:space="preserve"> трубочки, оттиски разных форм, нитки, сухие листья и т.д.; глина, пластилин, тесто, материалы для декора; бумага различной фактуры и размера, картон, клей ПВА;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•Инструменты: кисти нейлоновые или с натуральным ворсом от № 2 до № 10 (в зависимости от возраста и задач в рисовании) и щетина № 7, 8, ножницы, палитры, доски для лепки, печатки, валик, палочки, штампы, поролон, трафареты по темам; панно для выставки детских работ, магнитная доска, мольберты; клеенчатые скатерти, банки двойные, подставки под кисти.</w:t>
      </w:r>
    </w:p>
    <w:p w:rsidR="00101234" w:rsidRDefault="00101234" w:rsidP="001012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Таким образом, художественная предметно-развивающая среда должна обеспечивать принцип доступности и максимально комфортное состояние дошкольников в группе.</w:t>
      </w:r>
    </w:p>
    <w:p w:rsidR="00101234" w:rsidRDefault="00101234"/>
    <w:sectPr w:rsidR="0010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50B1"/>
    <w:multiLevelType w:val="multilevel"/>
    <w:tmpl w:val="BF26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75686"/>
    <w:multiLevelType w:val="multilevel"/>
    <w:tmpl w:val="4B84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97906"/>
    <w:multiLevelType w:val="multilevel"/>
    <w:tmpl w:val="78E2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30287"/>
    <w:multiLevelType w:val="multilevel"/>
    <w:tmpl w:val="5D88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1403B"/>
    <w:multiLevelType w:val="multilevel"/>
    <w:tmpl w:val="A124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07B42"/>
    <w:multiLevelType w:val="multilevel"/>
    <w:tmpl w:val="D820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24"/>
    <w:rsid w:val="00101234"/>
    <w:rsid w:val="00863960"/>
    <w:rsid w:val="008A1451"/>
    <w:rsid w:val="00A52B64"/>
    <w:rsid w:val="00DA6324"/>
    <w:rsid w:val="00F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27AA-10B0-43DB-B1DD-E3B1A554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6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3960"/>
  </w:style>
  <w:style w:type="paragraph" w:styleId="a3">
    <w:name w:val="Normal (Web)"/>
    <w:basedOn w:val="a"/>
    <w:uiPriority w:val="99"/>
    <w:semiHidden/>
    <w:unhideWhenUsed/>
    <w:rsid w:val="0010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RePack by Diakov</cp:lastModifiedBy>
  <cp:revision>5</cp:revision>
  <dcterms:created xsi:type="dcterms:W3CDTF">2017-10-08T12:57:00Z</dcterms:created>
  <dcterms:modified xsi:type="dcterms:W3CDTF">2017-10-09T14:17:00Z</dcterms:modified>
</cp:coreProperties>
</file>