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D" w:rsidRDefault="007F6859">
      <w:pPr>
        <w:spacing w:after="0" w:line="259" w:lineRule="auto"/>
        <w:ind w:firstLine="0"/>
        <w:jc w:val="center"/>
      </w:pPr>
      <w:r>
        <w:t xml:space="preserve">Статья </w:t>
      </w:r>
    </w:p>
    <w:p w:rsidR="00DA5EAD" w:rsidRDefault="007F6859">
      <w:pPr>
        <w:spacing w:after="35" w:line="259" w:lineRule="auto"/>
        <w:ind w:left="336" w:firstLine="0"/>
        <w:jc w:val="center"/>
      </w:pPr>
      <w:r>
        <w:t xml:space="preserve"> </w:t>
      </w:r>
    </w:p>
    <w:p w:rsidR="00DA5EAD" w:rsidRDefault="007F6859">
      <w:pPr>
        <w:spacing w:after="14" w:line="259" w:lineRule="auto"/>
        <w:ind w:left="0" w:right="66" w:firstLine="0"/>
        <w:jc w:val="right"/>
      </w:pPr>
      <w:r>
        <w:t>«</w:t>
      </w:r>
      <w:r>
        <w:rPr>
          <w:rFonts w:ascii="Monotype Corsiva" w:eastAsia="Monotype Corsiva" w:hAnsi="Monotype Corsiva" w:cs="Monotype Corsiva"/>
          <w:sz w:val="28"/>
        </w:rPr>
        <w:t>Формирование естественнонаучной грамотности обучающихся 7</w:t>
      </w:r>
      <w:r>
        <w:rPr>
          <w:rFonts w:ascii="Monotype Corsiva" w:eastAsia="Monotype Corsiva" w:hAnsi="Monotype Corsiva" w:cs="Monotype Corsiva"/>
          <w:i/>
          <w:sz w:val="28"/>
        </w:rPr>
        <w:t>-</w:t>
      </w:r>
      <w:r>
        <w:rPr>
          <w:rFonts w:ascii="Monotype Corsiva" w:eastAsia="Monotype Corsiva" w:hAnsi="Monotype Corsiva" w:cs="Monotype Corsiva"/>
          <w:sz w:val="28"/>
        </w:rPr>
        <w:t xml:space="preserve">9 классов </w:t>
      </w:r>
      <w:r>
        <w:rPr>
          <w:rFonts w:ascii="Monotype Corsiva" w:eastAsia="Monotype Corsiva" w:hAnsi="Monotype Corsiva" w:cs="Monotype Corsiva"/>
          <w:sz w:val="28"/>
        </w:rPr>
        <w:t xml:space="preserve">МОУ СОШ №4 </w:t>
      </w:r>
    </w:p>
    <w:p w:rsidR="00DA5EAD" w:rsidRDefault="007F6859">
      <w:pPr>
        <w:spacing w:after="0" w:line="259" w:lineRule="auto"/>
        <w:ind w:left="0" w:firstLine="0"/>
        <w:jc w:val="center"/>
      </w:pPr>
      <w:r>
        <w:rPr>
          <w:rFonts w:ascii="Monotype Corsiva" w:eastAsia="Monotype Corsiva" w:hAnsi="Monotype Corsiva" w:cs="Monotype Corsiva"/>
          <w:sz w:val="28"/>
        </w:rPr>
        <w:t>г.Всеволожска</w:t>
      </w:r>
      <w:r>
        <w:t xml:space="preserve">» </w:t>
      </w:r>
    </w:p>
    <w:p w:rsidR="00DA5EAD" w:rsidRDefault="007F6859">
      <w:pPr>
        <w:spacing w:after="50" w:line="259" w:lineRule="auto"/>
        <w:ind w:left="336" w:firstLine="0"/>
        <w:jc w:val="center"/>
      </w:pPr>
      <w:r>
        <w:t xml:space="preserve"> </w:t>
      </w:r>
    </w:p>
    <w:p w:rsidR="00DA5EAD" w:rsidRDefault="007F6859">
      <w:pPr>
        <w:spacing w:after="20"/>
        <w:ind w:left="-15"/>
      </w:pPr>
      <w:r>
        <w:t xml:space="preserve">Понятие функциональной грамотности – тренд современного образования. В совместном приказе </w:t>
      </w:r>
      <w:proofErr w:type="spellStart"/>
      <w:r>
        <w:t>Рособнадзора</w:t>
      </w:r>
      <w:proofErr w:type="spellEnd"/>
      <w:r>
        <w:t xml:space="preserve"> №590 и Минпросвещения </w:t>
      </w:r>
      <w:r>
        <w:t>России 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идёт речь о формировании 5-ти этапной сис</w:t>
      </w:r>
      <w:r>
        <w:t>темы оценки качества образования, которая включает в себя как апробированные в течение ряда лет процедуры проверки (ВПР, ГИА, НИКО – национальные исследования качества образования, международные исследования), так и новое направление – общероссийскую оценк</w:t>
      </w:r>
      <w:r>
        <w:t xml:space="preserve">у качества общего образования по модели PISA*, проверяющую уровень владения 15-летними подростками функциональной грамотностью (ФГ).  </w:t>
      </w:r>
    </w:p>
    <w:p w:rsidR="00DA5EAD" w:rsidRDefault="007F6859">
      <w:pPr>
        <w:spacing w:after="15"/>
        <w:ind w:left="-15"/>
      </w:pPr>
      <w:r>
        <w:t>Разница между академической и функциональной грамотностью заключается в том, что академическая грамотность – это совокупн</w:t>
      </w:r>
      <w:r>
        <w:t>ость умений считать, читать и писать для использования в повседневной жизни и удовлетворения житейских проблем, именно этому учила детей советская, а затем российская школа вплоть до начала XXI века. Функциональная грамотность подразумевает необходимость и</w:t>
      </w:r>
      <w:r>
        <w:t xml:space="preserve">спользования полученных знаний для решения широкого спектра жизненных задач, а также формирование отношений и ценностей.  </w:t>
      </w:r>
    </w:p>
    <w:p w:rsidR="00DA5EAD" w:rsidRDefault="007F6859">
      <w:pPr>
        <w:spacing w:line="273" w:lineRule="auto"/>
        <w:ind w:left="0" w:firstLine="708"/>
        <w:jc w:val="left"/>
      </w:pPr>
      <w:r>
        <w:t xml:space="preserve">Основными </w:t>
      </w:r>
      <w:r>
        <w:tab/>
        <w:t xml:space="preserve">компонентами </w:t>
      </w:r>
      <w:r>
        <w:tab/>
        <w:t xml:space="preserve">ФГ </w:t>
      </w:r>
      <w:r>
        <w:tab/>
        <w:t xml:space="preserve">являются: </w:t>
      </w:r>
      <w:r>
        <w:tab/>
        <w:t xml:space="preserve">читательская, </w:t>
      </w:r>
      <w:r>
        <w:tab/>
        <w:t xml:space="preserve">математическая </w:t>
      </w:r>
      <w:r>
        <w:tab/>
        <w:t>и естественнонаучная грамотность. В качестве дополнительных ко</w:t>
      </w:r>
      <w:r>
        <w:t xml:space="preserve">мпонентов выступают креативное мышление, финансовая грамотность и глобальные компетенции.  </w:t>
      </w:r>
    </w:p>
    <w:p w:rsidR="00DA5EAD" w:rsidRDefault="007F6859">
      <w:pPr>
        <w:ind w:left="-15"/>
      </w:pPr>
      <w:r>
        <w:t>В нашей школе большее внимание отдаётся естественнонаучной грамотности (ЕНГ), так как это не просто один из видов функциональной грамотности, это умение ориентирова</w:t>
      </w:r>
      <w:r>
        <w:t>ться в окружающем мире, понимать явления окружающего мира и умение использовать ресурсы на благо человечества. Естественнонаучная грамотность – это способность человека занимать активную гражданскую позицию по общественно значимым вопросам, связанным с ест</w:t>
      </w:r>
      <w:r>
        <w:t xml:space="preserve">ественными науками, и его готовность интересоваться естественнонаучными идеями (определение PISA). Естественнонаучная грамотность аккумулирует научные знания и «Методы научного познания».  Научные знания (в том числе </w:t>
      </w:r>
      <w:proofErr w:type="spellStart"/>
      <w:r>
        <w:t>межпредметные</w:t>
      </w:r>
      <w:proofErr w:type="spellEnd"/>
      <w:r>
        <w:t>) включают в себя знания о</w:t>
      </w:r>
      <w:r>
        <w:t xml:space="preserve"> физических системах (их дают предметы: естествознание, география, физика, химия), о живых системах (биология, химия, физика, экология), знания о Земле и Космических системах (их получают при изучении физики, географии, экологии, геологии и астрономии). </w:t>
      </w:r>
    </w:p>
    <w:p w:rsidR="00DA5EAD" w:rsidRDefault="007F6859">
      <w:pPr>
        <w:spacing w:after="3" w:line="322" w:lineRule="auto"/>
        <w:ind w:left="0" w:firstLine="708"/>
        <w:jc w:val="left"/>
      </w:pPr>
      <w:r>
        <w:t>И</w:t>
      </w:r>
      <w:r>
        <w:t xml:space="preserve"> цель нашей работы: </w:t>
      </w:r>
      <w:r>
        <w:rPr>
          <w:i/>
        </w:rPr>
        <w:t xml:space="preserve">повышение качества образования за счёт формирования естественнонаучной грамотности обучающихся 7-9 классов МОУ СОШ №4 г. Всеволожска». </w:t>
      </w:r>
    </w:p>
    <w:p w:rsidR="00DA5EAD" w:rsidRDefault="007F6859">
      <w:pPr>
        <w:ind w:left="708" w:firstLine="0"/>
      </w:pPr>
      <w:r>
        <w:t xml:space="preserve">В качестве источников данных для мониторинга качества образования мы используем: </w:t>
      </w:r>
    </w:p>
    <w:p w:rsidR="00DA5EAD" w:rsidRDefault="007F6859">
      <w:pPr>
        <w:spacing w:after="3" w:line="322" w:lineRule="auto"/>
        <w:ind w:left="703" w:right="4367" w:hanging="10"/>
        <w:jc w:val="left"/>
      </w:pPr>
      <w:r>
        <w:rPr>
          <w:i/>
        </w:rPr>
        <w:t xml:space="preserve">анализ результатов стартовой </w:t>
      </w:r>
      <w:proofErr w:type="gramStart"/>
      <w:r>
        <w:rPr>
          <w:i/>
        </w:rPr>
        <w:t>диагностики;  анализ</w:t>
      </w:r>
      <w:proofErr w:type="gramEnd"/>
      <w:r>
        <w:rPr>
          <w:i/>
        </w:rPr>
        <w:t xml:space="preserve"> промежуточной и итоговой аттестации;  анализ творческих достижений учащихся; анализ результатов ВПР; анализ результатов РЭШ. </w:t>
      </w:r>
    </w:p>
    <w:p w:rsidR="00DA5EAD" w:rsidRDefault="007F6859">
      <w:pPr>
        <w:ind w:left="-15"/>
      </w:pPr>
      <w:r>
        <w:t>В школе был издан приказ, сформирована рабочая группа, в которую входят директор</w:t>
      </w:r>
      <w:r>
        <w:t xml:space="preserve"> школы, завуч и методист, а также учителя методического объединения естественнонаучного цикла, обучающиеся 7-9 классов, родители. </w:t>
      </w:r>
    </w:p>
    <w:p w:rsidR="00DA5EAD" w:rsidRDefault="007F6859">
      <w:pPr>
        <w:spacing w:after="12" w:line="320" w:lineRule="auto"/>
        <w:ind w:left="-15"/>
      </w:pPr>
      <w:r>
        <w:lastRenderedPageBreak/>
        <w:t>Разработан алгоритм формирования естественнонаучной грамотности обучающихся 7-9 классов МОУ СОШ №4 г. Всеволожск. Алгоритм со</w:t>
      </w:r>
      <w:r>
        <w:t xml:space="preserve">стоит из трёх основных блоков, каждый из которых имеет свои компоненты: </w:t>
      </w:r>
    </w:p>
    <w:p w:rsidR="00DA5EAD" w:rsidRDefault="007F6859">
      <w:pPr>
        <w:numPr>
          <w:ilvl w:val="0"/>
          <w:numId w:val="1"/>
        </w:numPr>
        <w:spacing w:after="71" w:line="259" w:lineRule="auto"/>
        <w:ind w:hanging="286"/>
        <w:jc w:val="left"/>
      </w:pPr>
      <w:r>
        <w:rPr>
          <w:b/>
        </w:rPr>
        <w:t xml:space="preserve">Эффективные педагогические практики: </w:t>
      </w:r>
    </w:p>
    <w:p w:rsidR="00DA5EAD" w:rsidRDefault="007F6859">
      <w:pPr>
        <w:tabs>
          <w:tab w:val="center" w:pos="708"/>
          <w:tab w:val="center" w:pos="2499"/>
        </w:tabs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i/>
        </w:rPr>
        <w:t xml:space="preserve">-создание учебных ситуаций; </w:t>
      </w:r>
    </w:p>
    <w:p w:rsidR="00DA5EAD" w:rsidRDefault="007F6859">
      <w:pPr>
        <w:spacing w:after="71" w:line="259" w:lineRule="auto"/>
        <w:ind w:left="703" w:hanging="10"/>
        <w:jc w:val="left"/>
      </w:pPr>
      <w:r>
        <w:rPr>
          <w:i/>
        </w:rPr>
        <w:t xml:space="preserve">-учебное сотрудничество; </w:t>
      </w:r>
    </w:p>
    <w:p w:rsidR="00DA5EAD" w:rsidRDefault="007F6859">
      <w:pPr>
        <w:spacing w:after="72" w:line="259" w:lineRule="auto"/>
        <w:ind w:left="703" w:hanging="10"/>
        <w:jc w:val="left"/>
      </w:pPr>
      <w:r>
        <w:rPr>
          <w:i/>
        </w:rPr>
        <w:t xml:space="preserve">-поисковая активность; </w:t>
      </w:r>
    </w:p>
    <w:p w:rsidR="00DA5EAD" w:rsidRDefault="007F6859">
      <w:pPr>
        <w:spacing w:after="3" w:line="259" w:lineRule="auto"/>
        <w:ind w:left="703" w:hanging="10"/>
        <w:jc w:val="left"/>
      </w:pPr>
      <w:r>
        <w:rPr>
          <w:i/>
        </w:rPr>
        <w:t xml:space="preserve">-инструментарий и средства обучения. </w:t>
      </w:r>
    </w:p>
    <w:p w:rsidR="00DA5EAD" w:rsidRDefault="007F6859">
      <w:pPr>
        <w:numPr>
          <w:ilvl w:val="0"/>
          <w:numId w:val="1"/>
        </w:numPr>
        <w:spacing w:after="71" w:line="259" w:lineRule="auto"/>
        <w:ind w:hanging="286"/>
        <w:jc w:val="left"/>
      </w:pPr>
      <w:r>
        <w:rPr>
          <w:b/>
        </w:rPr>
        <w:t>Содержание образования (с</w:t>
      </w:r>
      <w:r>
        <w:rPr>
          <w:b/>
        </w:rPr>
        <w:t xml:space="preserve">тандарты, учебные программы): </w:t>
      </w:r>
    </w:p>
    <w:p w:rsidR="00DA5EAD" w:rsidRDefault="007F6859">
      <w:pPr>
        <w:spacing w:after="73" w:line="259" w:lineRule="auto"/>
        <w:ind w:left="703" w:hanging="10"/>
        <w:jc w:val="left"/>
      </w:pPr>
      <w:r>
        <w:rPr>
          <w:i/>
        </w:rPr>
        <w:t xml:space="preserve">-формы и методы обучения; </w:t>
      </w:r>
    </w:p>
    <w:p w:rsidR="007F6859" w:rsidRDefault="007F6859">
      <w:pPr>
        <w:spacing w:after="0" w:line="325" w:lineRule="auto"/>
        <w:ind w:left="708" w:right="5020" w:firstLine="0"/>
        <w:rPr>
          <w:i/>
        </w:rPr>
      </w:pPr>
      <w:r>
        <w:rPr>
          <w:i/>
        </w:rPr>
        <w:t xml:space="preserve">-программы дополнительного образования; -наличие образовательной среды. </w:t>
      </w:r>
    </w:p>
    <w:p w:rsidR="00DA5EAD" w:rsidRDefault="007F6859">
      <w:pPr>
        <w:spacing w:after="0" w:line="325" w:lineRule="auto"/>
        <w:ind w:left="708" w:right="5020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Участники процесса: </w:t>
      </w:r>
    </w:p>
    <w:p w:rsidR="00DA5EAD" w:rsidRDefault="007F6859">
      <w:pPr>
        <w:spacing w:after="71" w:line="259" w:lineRule="auto"/>
        <w:ind w:left="703" w:hanging="10"/>
        <w:jc w:val="left"/>
      </w:pPr>
      <w:r>
        <w:rPr>
          <w:i/>
        </w:rPr>
        <w:t xml:space="preserve">-администрация школы; </w:t>
      </w:r>
    </w:p>
    <w:p w:rsidR="00DA5EAD" w:rsidRDefault="007F6859">
      <w:pPr>
        <w:spacing w:after="3" w:line="322" w:lineRule="auto"/>
        <w:ind w:left="703" w:right="6652" w:hanging="10"/>
        <w:jc w:val="left"/>
      </w:pPr>
      <w:r>
        <w:rPr>
          <w:i/>
        </w:rPr>
        <w:t xml:space="preserve">-педагогический коллектив; -обучающиеся; -родители. </w:t>
      </w:r>
    </w:p>
    <w:p w:rsidR="00DA5EAD" w:rsidRDefault="007F6859">
      <w:pPr>
        <w:spacing w:after="0" w:line="324" w:lineRule="auto"/>
        <w:ind w:left="-15" w:firstLine="566"/>
      </w:pPr>
      <w:r>
        <w:t xml:space="preserve">  </w:t>
      </w:r>
      <w:r>
        <w:t>Основной процедурой итоговой оценки естественнонаучной грамотности в учебном процессе является система диагностики достижений обучающихся.</w:t>
      </w:r>
      <w:r>
        <w:rPr>
          <w:i/>
        </w:rPr>
        <w:t xml:space="preserve"> </w:t>
      </w:r>
    </w:p>
    <w:p w:rsidR="00DA5EAD" w:rsidRDefault="007F6859">
      <w:pPr>
        <w:ind w:left="-15"/>
      </w:pPr>
      <w:r>
        <w:t>Внедряя в свою работу задания по формированию естественнонаучной грамотности педагоги методического объединения есте</w:t>
      </w:r>
      <w:r>
        <w:t xml:space="preserve">ственнонаучного цикла, анализируя результаты мониторинга, наблюдают повышение уровня качества образования предметов естественнонаучного цикла. </w:t>
      </w:r>
    </w:p>
    <w:p w:rsidR="00DA5EAD" w:rsidRDefault="007F6859">
      <w:pPr>
        <w:ind w:left="-15"/>
      </w:pPr>
      <w:r>
        <w:t xml:space="preserve">Анализируя результаты РЭШ были выявлены проблемы формирования функциональной грамотности:  </w:t>
      </w:r>
    </w:p>
    <w:p w:rsidR="00DA5EAD" w:rsidRDefault="007F6859">
      <w:pPr>
        <w:ind w:left="-15"/>
      </w:pPr>
      <w:r>
        <w:t>-</w:t>
      </w:r>
      <w:r>
        <w:rPr>
          <w:i/>
        </w:rPr>
        <w:t>формализм знаний</w:t>
      </w:r>
      <w:r>
        <w:t xml:space="preserve"> – </w:t>
      </w:r>
      <w:r>
        <w:t>это старая проблема российской и советской школ: знания у учащихся есть, однако грамотно пользоваться ими они не умеют. Около 70% учащихся 5-9 классов не могут прояснить не только ЕН понятий, но и не могут привести примеры поясняющих понятий. Учимся для шк</w:t>
      </w:r>
      <w:r>
        <w:t xml:space="preserve">олы, не для жизни! </w:t>
      </w:r>
    </w:p>
    <w:p w:rsidR="00DA5EAD" w:rsidRDefault="007F6859">
      <w:pPr>
        <w:spacing w:after="23"/>
        <w:ind w:left="-15"/>
      </w:pPr>
      <w:r>
        <w:t>-</w:t>
      </w:r>
      <w:proofErr w:type="spellStart"/>
      <w:r>
        <w:rPr>
          <w:i/>
        </w:rPr>
        <w:t>ситуационность</w:t>
      </w:r>
      <w:proofErr w:type="spellEnd"/>
      <w:r>
        <w:rPr>
          <w:i/>
        </w:rPr>
        <w:t xml:space="preserve"> знаний</w:t>
      </w:r>
      <w:r>
        <w:t xml:space="preserve"> – если задачи максимально приближены к реальной жизненной ситуации и не содержат никаких указаний на способ действий, то, оказавшись лишёнными ориентиров в способах решения, лишь 27% учащихся оказываются способны </w:t>
      </w:r>
      <w:r>
        <w:t xml:space="preserve">разрешить ситуацию. </w:t>
      </w:r>
    </w:p>
    <w:p w:rsidR="00DA5EAD" w:rsidRDefault="007F6859">
      <w:pPr>
        <w:spacing w:after="10"/>
        <w:ind w:left="-15"/>
      </w:pPr>
      <w:r>
        <w:t>Педагогами естественнонаучного цикла ежемесячно ведётся статистика участия и обучающихся в работе раздела естественнонаучной грамотности на портале РЭШ, что позволяет отслеживать сведения об уровне естественнонаучной грамотности каждог</w:t>
      </w:r>
      <w:r>
        <w:t>о обучающегося. В презентации указаны эти результаты обучающихся 9 классов(</w:t>
      </w:r>
      <w:proofErr w:type="gramStart"/>
      <w:r>
        <w:t>А,Б</w:t>
      </w:r>
      <w:proofErr w:type="gramEnd"/>
      <w:r>
        <w:t xml:space="preserve">,В,Г,Д)  с сентября по декабрь 2022.  </w:t>
      </w:r>
    </w:p>
    <w:p w:rsidR="00DA5EAD" w:rsidRDefault="007F6859">
      <w:pPr>
        <w:spacing w:after="18"/>
        <w:ind w:left="-15"/>
      </w:pPr>
      <w:r>
        <w:t>По результатам выполнения диагностической работы по естественнонаучной грамотности в 9 –х классах, в которых отражены общий балл, процент о</w:t>
      </w:r>
      <w:r>
        <w:t>бучающихся достигших базового уровня, средний процент по выборке и отклонения невысок. Средний процент по выборке-38, процент обучающихся, достигших базового уровня 79. Обучающиеся, достигшие этого уровня, способны решать не очень сложные задания для распо</w:t>
      </w:r>
      <w:r>
        <w:t xml:space="preserve">знавания или построение объяснений знакомых явлений. В менее знакомых или более сложных ситуациях они могут строить объяснения, лишь используя подсказки. Они способны выполнить простой эксперимент для ограниченного круга </w:t>
      </w:r>
      <w:r>
        <w:lastRenderedPageBreak/>
        <w:t>задач, провести различие между науч</w:t>
      </w:r>
      <w:r>
        <w:t xml:space="preserve">ными и ненаучными вопросами и привести доказательства для научного утверждения.  </w:t>
      </w:r>
    </w:p>
    <w:p w:rsidR="00DA5EAD" w:rsidRDefault="007F6859">
      <w:pPr>
        <w:ind w:left="-15"/>
      </w:pPr>
      <w:r>
        <w:t xml:space="preserve">Учащиеся, достигшие более высокого уровня могут использовать более сложные или более абстрактные знания, которые им либо предоставлены, либо они их вспомнили. Те, кто достиг </w:t>
      </w:r>
      <w:r>
        <w:t>повышенного уровня (13%), могут использовать абстрактные естественнонаучные идеи и понятия, для объяснения незнакомых комплексных явлений, событий и процессов. И только 4 обучающихся достигли высокого уровня, они могут опираться на целый ряд взаимосвязанны</w:t>
      </w:r>
      <w:r>
        <w:t xml:space="preserve">х естественнонаучных идей и понятий из области физики, биологии, географии и астрономии. </w:t>
      </w:r>
    </w:p>
    <w:p w:rsidR="00DA5EAD" w:rsidRDefault="007F6859">
      <w:pPr>
        <w:spacing w:after="0" w:line="321" w:lineRule="auto"/>
        <w:ind w:left="-15"/>
      </w:pPr>
      <w:r>
        <w:t xml:space="preserve">В рамках предметов ЕНГ формируем: умения, составляющие компетенции ЕНГ, делая упор на предметное знание и метапредметные умения. </w:t>
      </w:r>
    </w:p>
    <w:p w:rsidR="00DA5EAD" w:rsidRDefault="007F6859">
      <w:pPr>
        <w:ind w:left="-15"/>
      </w:pPr>
      <w:r>
        <w:t>На оценочных мероприятиях проверяетс</w:t>
      </w:r>
      <w:r>
        <w:t xml:space="preserve">я: насколько обучающиеся владеют компетенциями в рамках естественнонаучной области, упор на практическое применение естественнонаучных знаний в реальных жизненных ситуациях. </w:t>
      </w:r>
    </w:p>
    <w:p w:rsidR="00DA5EAD" w:rsidRDefault="007F6859">
      <w:pPr>
        <w:spacing w:line="321" w:lineRule="auto"/>
        <w:ind w:left="-15"/>
      </w:pPr>
      <w:r>
        <w:t>А если готовим конкретно к PISA, то отдельным курсом – формируем умения применять</w:t>
      </w:r>
      <w:r>
        <w:t xml:space="preserve"> знания и навыки при решении контекстных </w:t>
      </w:r>
      <w:proofErr w:type="spellStart"/>
      <w:r>
        <w:t>межпредметных</w:t>
      </w:r>
      <w:proofErr w:type="spellEnd"/>
      <w:r>
        <w:t xml:space="preserve"> задач. </w:t>
      </w:r>
    </w:p>
    <w:p w:rsidR="00DA5EAD" w:rsidRDefault="007F6859">
      <w:pPr>
        <w:ind w:left="-15"/>
      </w:pPr>
      <w:r>
        <w:t xml:space="preserve">Главное: нужен набор методических инструментов, которые помогают учителю находить задания для формирования </w:t>
      </w:r>
      <w:proofErr w:type="spellStart"/>
      <w:r>
        <w:t>компетентностных</w:t>
      </w:r>
      <w:proofErr w:type="spellEnd"/>
      <w:r>
        <w:t xml:space="preserve"> умений из области естественнонаучной грамотности для каждого урока. </w:t>
      </w:r>
    </w:p>
    <w:p w:rsidR="00DA5EAD" w:rsidRDefault="007F6859">
      <w:pPr>
        <w:spacing w:after="29"/>
        <w:ind w:left="708" w:firstLine="0"/>
      </w:pPr>
      <w:r>
        <w:t xml:space="preserve">Сформировать всё на одном уроке невозможно, так как: </w:t>
      </w:r>
    </w:p>
    <w:p w:rsidR="00DA5EAD" w:rsidRDefault="007F6859">
      <w:pPr>
        <w:spacing w:after="3" w:line="322" w:lineRule="auto"/>
        <w:ind w:left="0" w:firstLine="708"/>
        <w:jc w:val="lef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В основу работы на уроке ложится предметное содержание, поэтому основной упор мы делаем на предметный результат; </w:t>
      </w:r>
    </w:p>
    <w:p w:rsidR="00DA5EAD" w:rsidRDefault="007F6859">
      <w:pPr>
        <w:spacing w:after="3" w:line="322" w:lineRule="auto"/>
        <w:ind w:left="0" w:firstLine="708"/>
        <w:jc w:val="lef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Каждый урок обладает «своим» набор </w:t>
      </w:r>
      <w:proofErr w:type="spellStart"/>
      <w:r>
        <w:rPr>
          <w:i/>
        </w:rPr>
        <w:t>компетентностных</w:t>
      </w:r>
      <w:proofErr w:type="spellEnd"/>
      <w:r>
        <w:rPr>
          <w:i/>
        </w:rPr>
        <w:t xml:space="preserve"> умений из области естественнонау</w:t>
      </w:r>
      <w:r>
        <w:rPr>
          <w:i/>
        </w:rPr>
        <w:t xml:space="preserve">чной грамотности; </w:t>
      </w:r>
    </w:p>
    <w:p w:rsidR="00DA5EAD" w:rsidRDefault="007F6859">
      <w:pPr>
        <w:spacing w:after="3" w:line="322" w:lineRule="auto"/>
        <w:ind w:left="0" w:firstLine="708"/>
        <w:jc w:val="lef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На </w:t>
      </w:r>
      <w:r>
        <w:rPr>
          <w:i/>
        </w:rPr>
        <w:tab/>
        <w:t xml:space="preserve">уроке </w:t>
      </w:r>
      <w:r>
        <w:rPr>
          <w:i/>
        </w:rPr>
        <w:tab/>
        <w:t xml:space="preserve">можно </w:t>
      </w:r>
      <w:r>
        <w:rPr>
          <w:i/>
        </w:rPr>
        <w:tab/>
        <w:t xml:space="preserve">формировать </w:t>
      </w:r>
      <w:r>
        <w:rPr>
          <w:i/>
        </w:rPr>
        <w:tab/>
        <w:t xml:space="preserve">и </w:t>
      </w:r>
      <w:r>
        <w:rPr>
          <w:i/>
        </w:rPr>
        <w:tab/>
        <w:t xml:space="preserve">отрабатывать </w:t>
      </w:r>
      <w:r>
        <w:rPr>
          <w:i/>
        </w:rPr>
        <w:tab/>
        <w:t xml:space="preserve">в </w:t>
      </w:r>
      <w:r>
        <w:rPr>
          <w:i/>
        </w:rPr>
        <w:tab/>
        <w:t xml:space="preserve">среднем </w:t>
      </w:r>
      <w:r>
        <w:rPr>
          <w:i/>
        </w:rPr>
        <w:tab/>
        <w:t xml:space="preserve">от </w:t>
      </w:r>
      <w:r>
        <w:rPr>
          <w:i/>
        </w:rPr>
        <w:tab/>
        <w:t xml:space="preserve">3 </w:t>
      </w:r>
      <w:r>
        <w:rPr>
          <w:i/>
        </w:rPr>
        <w:tab/>
        <w:t xml:space="preserve">до </w:t>
      </w:r>
      <w:r>
        <w:rPr>
          <w:i/>
        </w:rPr>
        <w:tab/>
        <w:t xml:space="preserve">5 </w:t>
      </w:r>
      <w:proofErr w:type="spellStart"/>
      <w:r>
        <w:rPr>
          <w:i/>
        </w:rPr>
        <w:t>компетентностных</w:t>
      </w:r>
      <w:proofErr w:type="spellEnd"/>
      <w:r>
        <w:rPr>
          <w:i/>
        </w:rPr>
        <w:t xml:space="preserve"> умений; </w:t>
      </w:r>
    </w:p>
    <w:p w:rsidR="00DA5EAD" w:rsidRDefault="007F6859">
      <w:pPr>
        <w:spacing w:after="3" w:line="322" w:lineRule="auto"/>
        <w:ind w:left="0" w:firstLine="708"/>
        <w:jc w:val="left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В рамках урока невозможно рассмотреть задание уровня PISA, поскольку время урока ограничено. </w:t>
      </w:r>
    </w:p>
    <w:p w:rsidR="00DA5EAD" w:rsidRDefault="007F6859">
      <w:pPr>
        <w:ind w:left="-15"/>
      </w:pPr>
      <w:r>
        <w:t>В школе ведётся большая работа по обмену</w:t>
      </w:r>
      <w:r>
        <w:t xml:space="preserve"> опыта работы по формированию естественнонаучной грамотности обучающихся. Выводы и результаты рассматриваются на семинарах, мастер-классах по функциональной грамотности. </w:t>
      </w:r>
    </w:p>
    <w:p w:rsidR="00DA5EAD" w:rsidRDefault="007F6859">
      <w:pPr>
        <w:ind w:left="-15"/>
      </w:pPr>
      <w:r>
        <w:t>В образовательной организации сформирована система развития естественнонаучной грамот</w:t>
      </w:r>
      <w:r>
        <w:t>ности обучающихся 7-9 классов МОУ СОШ №4 г. Всеволожска, разработан школьный план методического сопровождения в части формирования и оценки функциональной грамотности, проведены несколько заседаний ШМО с разбором заданий, взятых из платформы «РЭШ». Обеспеч</w:t>
      </w:r>
      <w:r>
        <w:t xml:space="preserve">ено участие учителей-предметников естественнонаучного цикла на заседаниях РМО, районных семинарах, региональных обучающих семинарах, </w:t>
      </w:r>
      <w:proofErr w:type="spellStart"/>
      <w:r>
        <w:t>вебинарах</w:t>
      </w:r>
      <w:proofErr w:type="spellEnd"/>
      <w:r>
        <w:t xml:space="preserve">. </w:t>
      </w:r>
    </w:p>
    <w:p w:rsidR="00DA5EAD" w:rsidRDefault="007F6859">
      <w:pPr>
        <w:spacing w:after="31"/>
        <w:ind w:left="-15"/>
      </w:pPr>
      <w:r>
        <w:t>Педагоги повышают свой образовательный уровень по вопросам формирования естественно-научной грамотности на курс</w:t>
      </w:r>
      <w:r>
        <w:t xml:space="preserve">ах повышения квалификации  </w:t>
      </w:r>
    </w:p>
    <w:p w:rsidR="00DA5EAD" w:rsidRDefault="007F6859">
      <w:pPr>
        <w:ind w:left="-15"/>
      </w:pPr>
      <w:r>
        <w:t>Результатом работы является участие обучающихся в конкурсах проектов естественнонаучного направления, где становятся победителями и призёрами, а также призёрами и победителями олимпиады ЛЭТИ по предметам естественнонаучного цикл</w:t>
      </w:r>
      <w:r>
        <w:t>а.</w:t>
      </w:r>
      <w:r>
        <w:rPr>
          <w:rFonts w:ascii="Calibri" w:eastAsia="Calibri" w:hAnsi="Calibri" w:cs="Calibri"/>
          <w:sz w:val="22"/>
        </w:rPr>
        <w:t xml:space="preserve"> </w:t>
      </w:r>
      <w:r>
        <w:t>Продолжается обучение</w:t>
      </w:r>
      <w:r>
        <w:rPr>
          <w:rFonts w:ascii="Calibri" w:eastAsia="Calibri" w:hAnsi="Calibri" w:cs="Calibri"/>
          <w:sz w:val="22"/>
        </w:rPr>
        <w:t xml:space="preserve"> </w:t>
      </w:r>
      <w:r>
        <w:t>ребят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 программам естественнонаучного цикла и в Образовательном центре «Интеллект».  </w:t>
      </w:r>
    </w:p>
    <w:p w:rsidR="00DA5EAD" w:rsidRDefault="007F6859">
      <w:pPr>
        <w:spacing w:after="0"/>
        <w:ind w:left="-15"/>
      </w:pPr>
      <w:r>
        <w:lastRenderedPageBreak/>
        <w:t>Опыт работы по формированию естественнонаучной грамотности обобщается на педсоветах, используются банки данных ФИПИ и других источников, создаю</w:t>
      </w:r>
      <w:r>
        <w:t>тся свои работы на РЭШ по естественнонаучной грамотности, публикуются на сайте школы (</w:t>
      </w:r>
      <w:hyperlink r:id="rId6">
        <w:r>
          <w:rPr>
            <w:color w:val="0562C1"/>
            <w:u w:val="single" w:color="0562C1"/>
          </w:rPr>
          <w:t>https://vsev4.ru/</w:t>
        </w:r>
      </w:hyperlink>
      <w:hyperlink r:id="rId7">
        <w:r>
          <w:t>)</w:t>
        </w:r>
      </w:hyperlink>
      <w:r>
        <w:t xml:space="preserve">. </w:t>
      </w:r>
    </w:p>
    <w:p w:rsidR="00DA5EAD" w:rsidRDefault="007F6859">
      <w:pPr>
        <w:ind w:left="-15"/>
      </w:pPr>
      <w:r>
        <w:t>Педагоги методического объединения естественнонаучного цикла приняли участи</w:t>
      </w:r>
      <w:r>
        <w:t xml:space="preserve">е в онлайн-марафонах по самодиагностике, организованных Академией Минпросвещения России. Средние результаты – 98%. </w:t>
      </w:r>
    </w:p>
    <w:p w:rsidR="00DA5EAD" w:rsidRDefault="007F6859">
      <w:pPr>
        <w:spacing w:after="0"/>
        <w:ind w:left="-15"/>
      </w:pPr>
      <w:r>
        <w:t>И в заключении, хотелось бы отметить, чтобы максимально эффективно сформировать у школьников компетенции естественнонаучной грамотности на у</w:t>
      </w:r>
      <w:r>
        <w:t>роках естественных наук в рамках современного образовательного процесса, учителям необходимо использовать наиболее современные средства, формы и методы обучения, которые будут максимально эффективно формировать функциональную грамотность в целом и естестве</w:t>
      </w:r>
      <w:r>
        <w:t>ннонаучную грамотность в частности. Эффективность формирования естественнонаучной грамотности находится в прямой зависимости от тех приемов обучения, которыми пользуется учитель, а также от уровня его творческого подхода к преподаванию. Систематическая дея</w:t>
      </w:r>
      <w:r>
        <w:t>тельность педагога, направленная на разработку, создание и активное использование на своих уроках и во внеурочной деятельности различных творческих заданий ведёт к тому, что школьники будут не просто активно учиться, но и постепенно формировать компетенции</w:t>
      </w:r>
      <w:r>
        <w:t xml:space="preserve"> естественнонаучной грамотности, что положительно скажется не только на изучении ими предметов естественнонаучного цикла, но и на мотивации к другим предметам в целом. Работа по формированию функциональной грамотности и обучающихся - это кропотливый труд, </w:t>
      </w:r>
      <w:r>
        <w:t>но необходимый, т.к. с появлением новых технологий, новых профессий, сфер экономики и с социально-психологическими изменениями самого человека, на первое место вышло обеспечение глобальной конкурентоспособности российского образования и воспитание гармонич</w:t>
      </w:r>
      <w:r>
        <w:t xml:space="preserve">но развитой социально </w:t>
      </w:r>
      <w:r>
        <w:t xml:space="preserve">ответственной личности. </w:t>
      </w:r>
    </w:p>
    <w:p w:rsidR="00DA5EAD" w:rsidRDefault="007F6859">
      <w:pPr>
        <w:spacing w:after="0" w:line="259" w:lineRule="auto"/>
        <w:ind w:left="708" w:firstLine="0"/>
        <w:jc w:val="left"/>
      </w:pPr>
      <w:r>
        <w:t xml:space="preserve"> </w:t>
      </w:r>
    </w:p>
    <w:p w:rsidR="00DA5EAD" w:rsidRDefault="007F6859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DA5EAD">
      <w:pgSz w:w="11906" w:h="16838"/>
      <w:pgMar w:top="1176" w:right="562" w:bottom="10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B5948"/>
    <w:multiLevelType w:val="hybridMultilevel"/>
    <w:tmpl w:val="AE706E7E"/>
    <w:lvl w:ilvl="0" w:tplc="6212C718">
      <w:start w:val="1"/>
      <w:numFmt w:val="bullet"/>
      <w:lvlText w:val=""/>
      <w:lvlJc w:val="left"/>
      <w:pPr>
        <w:ind w:left="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75B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9D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A546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AC85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2A67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2C77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142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802D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AD"/>
    <w:rsid w:val="007F6859"/>
    <w:rsid w:val="00D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7315"/>
  <w15:docId w15:val="{8B8E2AFF-4A80-4D54-9D73-0DAC987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69" w:lineRule="auto"/>
      <w:ind w:left="27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v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v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Shkola04</dc:creator>
  <cp:keywords/>
  <cp:lastModifiedBy>Shkola04</cp:lastModifiedBy>
  <cp:revision>2</cp:revision>
  <dcterms:created xsi:type="dcterms:W3CDTF">2024-10-18T12:04:00Z</dcterms:created>
  <dcterms:modified xsi:type="dcterms:W3CDTF">2024-10-18T12:04:00Z</dcterms:modified>
</cp:coreProperties>
</file>