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FE" w:rsidRPr="0024105B" w:rsidRDefault="00123F34" w:rsidP="00241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bookmarkStart w:id="0" w:name="_GoBack"/>
      <w:bookmarkEnd w:id="0"/>
      <w:r w:rsidRPr="0024105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5C07C0" w:rsidRPr="0024105B">
        <w:rPr>
          <w:rFonts w:ascii="Times New Roman" w:hAnsi="Times New Roman" w:cs="Times New Roman"/>
          <w:sz w:val="28"/>
          <w:szCs w:val="24"/>
          <w:shd w:val="clear" w:color="auto" w:fill="FFFFFF"/>
        </w:rPr>
        <w:t>«</w:t>
      </w:r>
      <w:r w:rsidR="00880DFE" w:rsidRPr="0024105B">
        <w:rPr>
          <w:rFonts w:ascii="Times New Roman" w:hAnsi="Times New Roman" w:cs="Times New Roman"/>
          <w:sz w:val="28"/>
          <w:szCs w:val="24"/>
          <w:shd w:val="clear" w:color="auto" w:fill="FFFFFF"/>
        </w:rPr>
        <w:t>Открытость партнёрств</w:t>
      </w:r>
      <w:r w:rsidR="001B5901"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 w:rsidR="00880DFE" w:rsidRPr="0024105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профессионализм как основные факторы повышения качества образования</w:t>
      </w:r>
      <w:r w:rsidR="005C07C0" w:rsidRPr="0024105B">
        <w:rPr>
          <w:rFonts w:ascii="Times New Roman" w:hAnsi="Times New Roman" w:cs="Times New Roman"/>
          <w:sz w:val="28"/>
          <w:szCs w:val="24"/>
          <w:shd w:val="clear" w:color="auto" w:fill="FFFFFF"/>
        </w:rPr>
        <w:t>»</w:t>
      </w:r>
    </w:p>
    <w:p w:rsidR="00BB5832" w:rsidRPr="0024105B" w:rsidRDefault="00BB5832" w:rsidP="002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школа — центр социального действия, открытое пространство для взаимодействия с учреждениями социума в системе «ребенок–педагог–семья», для созидательных, творческих инициатив, призванны</w:t>
      </w:r>
      <w:r w:rsidR="0024105B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духовно-интеллектуальный потенциал всех участников педагогического процесса.</w:t>
      </w:r>
      <w:r w:rsidR="0024105B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Перед сов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ременным образовательным учреждением поставлено множество задач, но </w:t>
      </w:r>
      <w:r w:rsidR="005C07C0" w:rsidRPr="0024105B">
        <w:rPr>
          <w:rFonts w:ascii="Times New Roman" w:hAnsi="Times New Roman" w:cs="Times New Roman"/>
          <w:sz w:val="24"/>
          <w:szCs w:val="24"/>
        </w:rPr>
        <w:t>какие бы новые задачи не ставились, по</w:t>
      </w:r>
      <w:r w:rsidR="00E70846">
        <w:rPr>
          <w:rFonts w:ascii="Times New Roman" w:hAnsi="Times New Roman" w:cs="Times New Roman"/>
          <w:sz w:val="24"/>
          <w:szCs w:val="24"/>
        </w:rPr>
        <w:t>-</w:t>
      </w:r>
      <w:r w:rsidR="005C07C0" w:rsidRPr="0024105B">
        <w:rPr>
          <w:rFonts w:ascii="Times New Roman" w:hAnsi="Times New Roman" w:cs="Times New Roman"/>
          <w:sz w:val="24"/>
          <w:szCs w:val="24"/>
        </w:rPr>
        <w:t>прежнему одной из центральных остается</w:t>
      </w:r>
      <w:r w:rsidRPr="0024105B">
        <w:rPr>
          <w:rFonts w:ascii="Times New Roman" w:hAnsi="Times New Roman" w:cs="Times New Roman"/>
          <w:sz w:val="24"/>
          <w:szCs w:val="24"/>
        </w:rPr>
        <w:t xml:space="preserve"> </w:t>
      </w:r>
      <w:r w:rsidR="005C07C0" w:rsidRPr="0024105B">
        <w:rPr>
          <w:rFonts w:ascii="Times New Roman" w:hAnsi="Times New Roman" w:cs="Times New Roman"/>
          <w:sz w:val="24"/>
          <w:szCs w:val="24"/>
        </w:rPr>
        <w:t xml:space="preserve">повышение качества. </w:t>
      </w:r>
    </w:p>
    <w:p w:rsidR="00BB5832" w:rsidRPr="0024105B" w:rsidRDefault="00BB5832" w:rsidP="002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Моя Цель на сегодня - рассказать вам о том, как наше образовательное учреждение решает данную задачу посредством двух направлений: налаживания партнёрских отношений и повышения профессионализма педагогических работников.</w:t>
      </w:r>
    </w:p>
    <w:p w:rsidR="00122F3D" w:rsidRPr="0024105B" w:rsidRDefault="00122F3D" w:rsidP="002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основателей Московского Художественного </w:t>
      </w:r>
      <w:r w:rsidRPr="002410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театра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 Константин Сергеевич Станиславский говорил, что театр начинается с вешалки.</w:t>
      </w:r>
      <w:r w:rsidR="006C6270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Школа, наверное, </w:t>
      </w:r>
      <w:r w:rsidRPr="002410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начинается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10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ее внешнего и </w:t>
      </w:r>
      <w:r w:rsidR="00E70846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внутреннего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 и царящей в ней атмосферы. </w:t>
      </w:r>
      <w:r w:rsidRPr="0024105B">
        <w:rPr>
          <w:rFonts w:ascii="Times New Roman" w:hAnsi="Times New Roman" w:cs="Times New Roman"/>
          <w:sz w:val="24"/>
          <w:szCs w:val="24"/>
        </w:rPr>
        <w:t xml:space="preserve">Если в школе холод, грязь, беспорядок, учитель  опаздывает на урок и задерживает детей с урока, урок идёт без должного воодушевления, – основная цель обучения и воспитания теряется, детям и родителям не хочется приходить в школу, </w:t>
      </w:r>
      <w:r w:rsidR="00970BF6" w:rsidRPr="0024105B">
        <w:rPr>
          <w:rFonts w:ascii="Times New Roman" w:hAnsi="Times New Roman" w:cs="Times New Roman"/>
          <w:sz w:val="24"/>
          <w:szCs w:val="24"/>
        </w:rPr>
        <w:t>учебный процесс</w:t>
      </w:r>
      <w:r w:rsidRPr="0024105B">
        <w:rPr>
          <w:rFonts w:ascii="Times New Roman" w:hAnsi="Times New Roman" w:cs="Times New Roman"/>
          <w:sz w:val="24"/>
          <w:szCs w:val="24"/>
        </w:rPr>
        <w:t xml:space="preserve"> теряет своё образовательное, воспитательное и общественное значение.</w:t>
      </w:r>
    </w:p>
    <w:p w:rsidR="006C6270" w:rsidRPr="0024105B" w:rsidRDefault="00970BF6" w:rsidP="002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sz w:val="24"/>
          <w:szCs w:val="24"/>
        </w:rPr>
        <w:t>Наша задача сделать так</w:t>
      </w:r>
      <w:r w:rsidR="00122F3D" w:rsidRPr="0024105B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24105B">
        <w:rPr>
          <w:rFonts w:ascii="Times New Roman" w:hAnsi="Times New Roman" w:cs="Times New Roman"/>
          <w:sz w:val="24"/>
          <w:szCs w:val="24"/>
        </w:rPr>
        <w:t>ученик, родитель, учитель</w:t>
      </w:r>
      <w:r w:rsidR="00122F3D" w:rsidRPr="0024105B">
        <w:rPr>
          <w:rFonts w:ascii="Times New Roman" w:hAnsi="Times New Roman" w:cs="Times New Roman"/>
          <w:sz w:val="24"/>
          <w:szCs w:val="24"/>
        </w:rPr>
        <w:t xml:space="preserve"> </w:t>
      </w:r>
      <w:r w:rsidRPr="0024105B">
        <w:rPr>
          <w:rFonts w:ascii="Times New Roman" w:hAnsi="Times New Roman" w:cs="Times New Roman"/>
          <w:sz w:val="24"/>
          <w:szCs w:val="24"/>
        </w:rPr>
        <w:t>-</w:t>
      </w:r>
      <w:r w:rsidR="00122F3D" w:rsidRPr="0024105B">
        <w:rPr>
          <w:rFonts w:ascii="Times New Roman" w:hAnsi="Times New Roman" w:cs="Times New Roman"/>
          <w:sz w:val="24"/>
          <w:szCs w:val="24"/>
        </w:rPr>
        <w:t xml:space="preserve"> каждый</w:t>
      </w:r>
      <w:r w:rsidRPr="0024105B">
        <w:rPr>
          <w:rFonts w:ascii="Times New Roman" w:hAnsi="Times New Roman" w:cs="Times New Roman"/>
          <w:sz w:val="24"/>
          <w:szCs w:val="24"/>
        </w:rPr>
        <w:t>,</w:t>
      </w:r>
      <w:r w:rsidR="00122F3D" w:rsidRPr="0024105B">
        <w:rPr>
          <w:rFonts w:ascii="Times New Roman" w:hAnsi="Times New Roman" w:cs="Times New Roman"/>
          <w:sz w:val="24"/>
          <w:szCs w:val="24"/>
        </w:rPr>
        <w:t xml:space="preserve"> имеющий отношение к </w:t>
      </w:r>
      <w:r w:rsidRPr="0024105B">
        <w:rPr>
          <w:rFonts w:ascii="Times New Roman" w:hAnsi="Times New Roman" w:cs="Times New Roman"/>
          <w:sz w:val="24"/>
          <w:szCs w:val="24"/>
        </w:rPr>
        <w:t>школе,</w:t>
      </w:r>
      <w:r w:rsidR="00122F3D" w:rsidRPr="0024105B">
        <w:rPr>
          <w:rFonts w:ascii="Times New Roman" w:hAnsi="Times New Roman" w:cs="Times New Roman"/>
          <w:sz w:val="24"/>
          <w:szCs w:val="24"/>
        </w:rPr>
        <w:t xml:space="preserve"> входил в не</w:t>
      </w:r>
      <w:r w:rsidRPr="0024105B">
        <w:rPr>
          <w:rFonts w:ascii="Times New Roman" w:hAnsi="Times New Roman" w:cs="Times New Roman"/>
          <w:sz w:val="24"/>
          <w:szCs w:val="24"/>
        </w:rPr>
        <w:t>ё</w:t>
      </w:r>
      <w:r w:rsidR="00122F3D" w:rsidRPr="0024105B">
        <w:rPr>
          <w:rFonts w:ascii="Times New Roman" w:hAnsi="Times New Roman" w:cs="Times New Roman"/>
          <w:sz w:val="24"/>
          <w:szCs w:val="24"/>
        </w:rPr>
        <w:t xml:space="preserve"> с особым чувством, проникался соответствующим настроением, которое помогает, а не мешает </w:t>
      </w:r>
      <w:r w:rsidRPr="0024105B">
        <w:rPr>
          <w:rFonts w:ascii="Times New Roman" w:hAnsi="Times New Roman" w:cs="Times New Roman"/>
          <w:sz w:val="24"/>
          <w:szCs w:val="24"/>
        </w:rPr>
        <w:t>учебному процессу</w:t>
      </w:r>
      <w:r w:rsidR="00122F3D" w:rsidRPr="0024105B">
        <w:rPr>
          <w:rFonts w:ascii="Times New Roman" w:hAnsi="Times New Roman" w:cs="Times New Roman"/>
          <w:sz w:val="24"/>
          <w:szCs w:val="24"/>
        </w:rPr>
        <w:t xml:space="preserve">. </w:t>
      </w:r>
      <w:r w:rsidRPr="0024105B">
        <w:rPr>
          <w:rFonts w:ascii="Times New Roman" w:hAnsi="Times New Roman" w:cs="Times New Roman"/>
          <w:sz w:val="24"/>
          <w:szCs w:val="24"/>
        </w:rPr>
        <w:t xml:space="preserve">Эту задачу невозможно успешно 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реализовывать без широкого сотрудничества с социумом на уровне социального партнерства. </w:t>
      </w:r>
    </w:p>
    <w:p w:rsidR="00CD0669" w:rsidRPr="0024105B" w:rsidRDefault="00CD0669" w:rsidP="002410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В Федеральном законе от 29.12.2012г. № 273-ФЗ (</w:t>
      </w:r>
      <w:proofErr w:type="spellStart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proofErr w:type="gramStart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End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03.08.2018) «Об образовании в Российской Федерации» о партнёрских отношениях говорится в </w:t>
      </w:r>
      <w:r w:rsidRPr="0024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Статье 103</w:t>
      </w: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деятельности), которая касается организаций высшего образования</w:t>
      </w:r>
      <w:r w:rsidR="00776FC6"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в </w:t>
      </w:r>
      <w:r w:rsidRPr="0024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</w:t>
      </w:r>
      <w:r w:rsidR="00776FC6" w:rsidRPr="0024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4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</w:t>
      </w:r>
      <w:r w:rsidR="00776FC6" w:rsidRPr="0024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24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Сетевая форма реализации образовательных программ</w:t>
      </w:r>
      <w:r w:rsidR="00776FC6" w:rsidRPr="0024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CD0669" w:rsidRPr="0024105B" w:rsidRDefault="00CD0669" w:rsidP="002410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76FC6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905BE4" w:rsidRPr="0024105B" w:rsidRDefault="00776FC6" w:rsidP="002410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Сетевая форма у нас не реализуется, а вот система партнёрских отношений налажена неплохо.</w:t>
      </w:r>
      <w:r w:rsidR="00905BE4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Социальное партнерство - это эффективный для социальных субъектов вариант отношений с целью достижения потребностей, интересов, ценностных ориентиров, основанных на принципе социальной справедливости. </w:t>
      </w:r>
    </w:p>
    <w:p w:rsidR="00776FC6" w:rsidRDefault="00776FC6" w:rsidP="002410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взаимодействия с партнёрами</w:t>
      </w:r>
      <w:r w:rsidR="00905BE4"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B71BB"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реализуемые</w:t>
      </w:r>
      <w:r w:rsidR="00905BE4"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нашей ОО</w:t>
      </w: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BE4"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улучшение материально-технической базы через систему спонсорства; реализация воспитательной системы; повышение качества образовательных услуг. Остановимся подробнее на каждом.</w:t>
      </w:r>
    </w:p>
    <w:p w:rsidR="00776FC6" w:rsidRPr="0024105B" w:rsidRDefault="007A750F" w:rsidP="00241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76FC6"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лучшение материально-технической базы через систему спонсорства</w:t>
      </w: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5BE4" w:rsidRDefault="007A750F" w:rsidP="004A6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реализацию данного направления включены </w:t>
      </w:r>
      <w:r w:rsidR="00E24AC7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образовательных отношений, спонсоров ищем «всем миром»: 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4AC7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школы, учителя, родители, ученики. Благодаря этому за последние три года нам оказали спонсорскую помощь 10 организаций и индивидуальных предпринимателей нашего района, соседних районов, </w:t>
      </w:r>
      <w:proofErr w:type="spellStart"/>
      <w:r w:rsidR="00E24AC7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E24AC7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E24AC7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ижнего</w:t>
      </w:r>
      <w:proofErr w:type="spellEnd"/>
      <w:r w:rsidR="00E24AC7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Новгорода и </w:t>
      </w:r>
      <w:proofErr w:type="spellStart"/>
      <w:r w:rsidR="00E24AC7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г.Москвы</w:t>
      </w:r>
      <w:proofErr w:type="spellEnd"/>
      <w:r w:rsidR="00E24AC7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Выделялись средства на капитальный ремонт кабинетов, на приобретение и установку пластиковых окон, на приобретение и установку </w:t>
      </w:r>
      <w:r w:rsidR="00E24AC7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дверей в учебные кабинеты, на покупку учебных стендов, на приобретение призов и подарков детям при проведении мероприятий, выделялся бензин и денежные средства для организации экскурсионных поездок и многое другое. </w:t>
      </w:r>
    </w:p>
    <w:p w:rsidR="007A750F" w:rsidRPr="0024105B" w:rsidRDefault="003672B6" w:rsidP="00241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A750F"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еализация воспитательной системы</w:t>
      </w: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474F" w:rsidRDefault="003672B6" w:rsidP="004A6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Партнёрами в реализации данного направления выступают Новомирский Дом Культуры, </w:t>
      </w:r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сельская библиотека, 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«Новомирский детский сад «Берёзка», медицинский пункт посёлка, ветеранский клуб «Надежда», ГБПОУ «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Перевозский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строительный колледж и его 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Вадский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филиал, 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Кельский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карьер, ПЧ </w:t>
      </w:r>
      <w:proofErr w:type="spellStart"/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</w:t>
      </w:r>
      <w:proofErr w:type="spellEnd"/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отделение ПЧ в </w:t>
      </w:r>
      <w:proofErr w:type="spellStart"/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п.Новый</w:t>
      </w:r>
      <w:proofErr w:type="spellEnd"/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Мир, </w:t>
      </w:r>
      <w:proofErr w:type="spellStart"/>
      <w:r w:rsidR="00DE5E13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Вадский</w:t>
      </w:r>
      <w:proofErr w:type="spellEnd"/>
      <w:r w:rsidR="00DE5E13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="00DE5E13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Перевозский</w:t>
      </w:r>
      <w:proofErr w:type="spellEnd"/>
      <w:r w:rsidR="00DE5E13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историко-краеведческие музейно-выставочные центры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ФОК «Чайка» 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г.Перевоз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отделение полиции</w:t>
      </w:r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сельская администрация и др.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организации. Ежегодно стараемся этот перечень увеличивать или изменяем, дополняем формы сотрудничества. </w:t>
      </w:r>
    </w:p>
    <w:p w:rsidR="002C741E" w:rsidRPr="004A66F4" w:rsidRDefault="00DE5E13" w:rsidP="00375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традиционными формами (организация совместных концертных программ в ДК, библиотечные уроки в с/библиотеке, экскурсии, акции и операции</w:t>
      </w:r>
      <w:r w:rsidR="00D643B0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с сельской администрацией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24258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стараемся внедрять современные</w:t>
      </w:r>
      <w:r w:rsid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взаимодействия</w:t>
      </w:r>
      <w:r w:rsidR="00124258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словесные и танцевальные </w:t>
      </w:r>
      <w:proofErr w:type="spellStart"/>
      <w:r w:rsidR="00124258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флэшмобы</w:t>
      </w:r>
      <w:proofErr w:type="spellEnd"/>
      <w:r w:rsidR="002418EF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организованные совместно с ДК и с/библиотекой (</w:t>
      </w:r>
      <w:r w:rsidR="002418EF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«Начекань десяточку», посвящённый церемонии открытия чемпионата мира по футболу; «Читаем Пушкина»;</w:t>
      </w:r>
      <w:proofErr w:type="gramEnd"/>
      <w:r w:rsidR="002418EF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18EF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такое Честность»; «Участники дорожного движения»); </w:t>
      </w:r>
      <w:proofErr w:type="spellStart"/>
      <w:r w:rsidR="002418EF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2418EF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4A8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ДК </w:t>
      </w:r>
      <w:r w:rsidR="002418EF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(«Безопасность жизнедеятельности»; «Биологический </w:t>
      </w:r>
      <w:proofErr w:type="spellStart"/>
      <w:r w:rsidR="002418EF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2418EF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»); конкурсные программы совместно с ДК и клубом «Надежда»</w:t>
      </w:r>
      <w:r w:rsidR="00B841BD"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7F16D2" w:rsidRPr="004A66F4" w:rsidRDefault="00B841BD" w:rsidP="004A6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ДК и с/администрацией много лет 9 мая и 22 июня проводим митинг памяти не только на территории нашего населённого пункта, но и для жителей </w:t>
      </w:r>
      <w:proofErr w:type="spellStart"/>
      <w:r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еленино</w:t>
      </w:r>
      <w:proofErr w:type="spellEnd"/>
      <w:r w:rsidRP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E13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16D2" w:rsidRDefault="001D04A8" w:rsidP="004A6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F16D2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посещении </w:t>
      </w:r>
      <w:proofErr w:type="spellStart"/>
      <w:r w:rsidR="007F16D2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Перевозского</w:t>
      </w:r>
      <w:proofErr w:type="spellEnd"/>
      <w:r w:rsidR="007F16D2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музейно-выставочного центра в программу включаем не только экскурсию, но и мастер-класс</w:t>
      </w:r>
      <w:r w:rsid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F16D2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прошлом учебном году было организовано четыре таких поездки, где на мастер-классе ученики учились шить обереги, давали вторую жизнь старым вещам, рисовали картины манной крупой и учились </w:t>
      </w:r>
      <w:proofErr w:type="spellStart"/>
      <w:r w:rsidR="007F16D2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нитеграфии</w:t>
      </w:r>
      <w:proofErr w:type="spellEnd"/>
      <w:r w:rsidR="007F16D2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E13" w:rsidRPr="004A66F4" w:rsidRDefault="007F16D2" w:rsidP="004A6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 с ГБПОУ «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Перевозский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строительный колледж» развиваем уже в </w:t>
      </w:r>
      <w:r w:rsidR="007645D1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направлениях. Когда-то они приезжали к нам только с программой  профориентации, </w:t>
      </w:r>
      <w:r w:rsidR="00D15E5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сейчас каждые каникулы ребята ждут </w:t>
      </w:r>
      <w:r w:rsidR="007645D1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</w:t>
      </w:r>
      <w:r w:rsidR="00D15E5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школу с новым </w:t>
      </w:r>
      <w:r w:rsidR="00BB71BB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мероприятием</w:t>
      </w:r>
      <w:r w:rsidR="00D15E5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концертной программой, </w:t>
      </w:r>
      <w:r w:rsidR="00B86284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D15E5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прошлом году творческий коллектив колледжа проводил для ребят новогодний праздник</w:t>
      </w:r>
      <w:r w:rsidR="00B86284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5E5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6284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D15E5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етом во время работы лагеря при школе</w:t>
      </w:r>
      <w:r w:rsid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5E5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студенты приезжают и проводят мастер-классы: «Русские народные игры», «Патриотические песни» и др. </w:t>
      </w:r>
      <w:r w:rsidR="007645D1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Каждую в</w:t>
      </w:r>
      <w:r w:rsidR="00D15E5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есн</w:t>
      </w:r>
      <w:r w:rsidR="007645D1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15E5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уже наши ребята являются гостями колледжа: вот уже три года мы успешно участвуем в конференции «Студенческая весна», проводимой колледжем. 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6284" w:rsidRPr="004A66F4" w:rsidRDefault="007645D1" w:rsidP="004A6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Сотрудничество с МАДОУ «Новомирский детский сад «Берёзка» также двустороннее. Чаще, конечно, мы являемся гостями детского сада: в течение учебного года учитель 4 класса по согласованию с родителями, заведующей д/с и воспитателями периодически посещает занятия у ребят старшей (дошкольной) группы. Цель - знакомство с детьми, которые пойдут в 1 класс, их характером, интересами, </w:t>
      </w:r>
      <w:r w:rsidR="00BB71BB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особенностями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чтобы учителю наиболее качественно и успешно подготовиться к встрече с ними в школе. Гостями д/</w:t>
      </w:r>
      <w:proofErr w:type="gram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ляются</w:t>
      </w:r>
      <w:proofErr w:type="gram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ребята из объединений дополнительного образования «Здоровая школа», «Юный друг природы», «Патриот»</w:t>
      </w:r>
      <w:r w:rsid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 готовят для дошкольников различные тематические выступления, игры, небольшие мастер-классы. </w:t>
      </w:r>
      <w:proofErr w:type="gramStart"/>
      <w:r w:rsidR="003E2B0F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Последние два года и ребята из детского сада приходят к нам в гости: учитель химии проводил для ребят занятие-практикум, на котором была организована работа с интерактивной доской,  проведены несколько бытовых опытов; библиотекарь пригласил ребят на экскурсию в библиотеку и игровой библиотечный урок; ребята из объединения дополнительного образования «Краеведение» провели для дошкольников экскурсию в музее школы.</w:t>
      </w:r>
      <w:proofErr w:type="gramEnd"/>
    </w:p>
    <w:p w:rsidR="003E2B0F" w:rsidRPr="004A66F4" w:rsidRDefault="00EB67F3" w:rsidP="004A6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Сотрудничество ПЧ 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отделением ПЧ в 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п.Новый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 также представлено несколькими направлениями: ежегодно в рамках деятельности летнего лагеря при школе мы организуем экскурсии в ПЧ с Вад; учителя начальных классов организуют экскурсию 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отделение ПЧ в 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п.Новый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Мир, где работники рассказывают и показывают ученикам </w:t>
      </w:r>
      <w:r w:rsidR="00E47294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 пожарника, пожарную машину и принцип её работы; </w:t>
      </w:r>
      <w:r w:rsidR="00323B18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объединения дополнительного образования «Патриот» на занятия с учениками - членами пожарной дружины, приглашает работников отделения ПЧ в </w:t>
      </w:r>
      <w:proofErr w:type="spellStart"/>
      <w:r w:rsidR="00323B18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="00323B18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323B18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овый</w:t>
      </w:r>
      <w:proofErr w:type="spellEnd"/>
      <w:r w:rsidR="00323B18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Мир.</w:t>
      </w:r>
    </w:p>
    <w:p w:rsidR="00D643B0" w:rsidRPr="004A66F4" w:rsidRDefault="00D643B0" w:rsidP="004A6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 с фельдшерским пунктом - это приглашение медицинского работника на классные часы и занятия кружка «Здоровая школа». Стараемся приглашать и на родительские собрания, но в силу ненормированного графика работы это не всегда удаётся.</w:t>
      </w:r>
      <w:r w:rsidR="00D24EDC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этом году воспитателями лагеря при школе была организована с ребятами акция «Коробочка храбрости» по сбору игрушек для детей в фельдшерский пункт.</w:t>
      </w:r>
    </w:p>
    <w:p w:rsidR="00323B18" w:rsidRPr="004A66F4" w:rsidRDefault="00C92F3A" w:rsidP="004A66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Кельский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карьер организуем экскурсии </w:t>
      </w:r>
      <w:proofErr w:type="spellStart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направленности, где ребята знакомятся не только с техникой и особенностями работы на ней, но и узнают о профессиях, востребованных в современном мире: горный мастер, маркшейдер, механик, слесарь по ремонту горной техники, горный инженер. </w:t>
      </w:r>
      <w:r w:rsidR="0048328D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всегда заканчивается вкусным обедом - гостям там всегда рады. А н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B7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классных часах продолжается </w:t>
      </w:r>
      <w:proofErr w:type="spellStart"/>
      <w:r w:rsidR="00BB7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офориентационная</w:t>
      </w:r>
      <w:proofErr w:type="spellEnd"/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- с классными руководителями находят учебные заведения, в которых можно получить данн</w:t>
      </w:r>
      <w:r w:rsidR="0048328D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</w:t>
      </w:r>
      <w:r w:rsidR="0048328D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условия поступления и обучения.</w:t>
      </w:r>
      <w:r w:rsidR="00905BE4" w:rsidRPr="004A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750F" w:rsidRPr="0024105B" w:rsidRDefault="00905BE4" w:rsidP="00241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A750F"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качества образовательных услуг.</w:t>
      </w:r>
    </w:p>
    <w:p w:rsidR="00B059DD" w:rsidRPr="0024105B" w:rsidRDefault="00B059DD" w:rsidP="004A66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sz w:val="24"/>
          <w:szCs w:val="24"/>
        </w:rPr>
        <w:t>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</w:t>
      </w:r>
      <w:r w:rsidR="004A66F4">
        <w:rPr>
          <w:rFonts w:ascii="Times New Roman" w:hAnsi="Times New Roman" w:cs="Times New Roman"/>
          <w:sz w:val="24"/>
          <w:szCs w:val="24"/>
        </w:rPr>
        <w:t xml:space="preserve"> </w:t>
      </w:r>
      <w:r w:rsidRPr="0024105B">
        <w:rPr>
          <w:rFonts w:ascii="Times New Roman" w:hAnsi="Times New Roman" w:cs="Times New Roman"/>
          <w:sz w:val="24"/>
          <w:szCs w:val="24"/>
        </w:rPr>
        <w:t>мыслящий, прогнозирующий результаты своей деятельности и умело и грамотно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квалифицированного, творчески мыслящего, конкурентоспособного учителя, способного воспитывать личность в современном, динамично меняющемся мире. Изменения, происходящие в системе образования, делают необходимостью повышение квалификации и профессионализма учителя, т.е. его профессиональной компетентности. Под профессиональной компетентностью учителя понимается совокупность профессиональных и личностных качеств, необходимых для успешной педагогической деятельности.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</w:p>
    <w:p w:rsidR="00821D35" w:rsidRPr="0024105B" w:rsidRDefault="00821D35" w:rsidP="0024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В Федеральном законе от 29.12.2012г. № 273-ФЗ (</w:t>
      </w:r>
      <w:proofErr w:type="spellStart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proofErr w:type="gramStart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End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03.08.2018) «Об образовании в Российской Федерации» в </w:t>
      </w:r>
      <w:r w:rsidRPr="0024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Статье 46 (Право на занятие педагогической деятельностью) </w:t>
      </w: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говорится:</w:t>
      </w:r>
    </w:p>
    <w:p w:rsidR="00821D35" w:rsidRPr="0024105B" w:rsidRDefault="00821D35" w:rsidP="00241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821D35" w:rsidRPr="0024105B" w:rsidRDefault="00821D35" w:rsidP="002410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вступит в силу 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 Профессиональный стандарт педагога является рамочным документом, в котором определяются основные тре</w:t>
      </w:r>
      <w:r w:rsid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 к квалификации учителя. </w:t>
      </w: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откладывалось его повсеместное внедрение с 2015 года на январь 2017 года и вот сейчас объявлена новая дата - сентябрь 2019 года. Сейчас он проходит апробацию в более 40 регионах России.</w:t>
      </w:r>
    </w:p>
    <w:p w:rsidR="00B42194" w:rsidRPr="0024105B" w:rsidRDefault="00B42194" w:rsidP="0024105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направлений Национальной образовательной инициативы «Наша новая школа», утверждённой Президентом Российской Федерации 04 февраля 2010 г. Пр-271 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являетс</w:t>
      </w:r>
      <w:r w:rsidR="00412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учительского корпуса (</w:t>
      </w:r>
      <w:r w:rsidR="00063D0B" w:rsidRPr="0024105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3.</w:t>
      </w:r>
      <w:proofErr w:type="gramEnd"/>
      <w:r w:rsidR="00063D0B" w:rsidRPr="0024105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63D0B" w:rsidRPr="0024105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Совершенствование учительского корпуса</w:t>
      </w:r>
      <w:r w:rsidRPr="0024105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).</w:t>
      </w:r>
      <w:proofErr w:type="gramEnd"/>
    </w:p>
    <w:p w:rsidR="00164F01" w:rsidRPr="0024105B" w:rsidRDefault="00B42194" w:rsidP="002410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«…</w:t>
      </w:r>
      <w:r w:rsidR="00063D0B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</w:t>
      </w:r>
      <w:r w:rsidR="00063D0B" w:rsidRPr="00800266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лучших учителей в рамках приоритетного национального проекта "Образо</w:t>
      </w:r>
      <w:r w:rsidRPr="00800266">
        <w:rPr>
          <w:rFonts w:ascii="Times New Roman" w:hAnsi="Times New Roman" w:cs="Times New Roman"/>
          <w:sz w:val="24"/>
          <w:szCs w:val="24"/>
          <w:shd w:val="clear" w:color="auto" w:fill="FFFFFF"/>
        </w:rPr>
        <w:t>вание"</w:t>
      </w:r>
      <w:r w:rsidR="009B0E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6133" w:rsidRPr="0024105B" w:rsidRDefault="00063D0B" w:rsidP="002410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</w:t>
      </w:r>
      <w:proofErr w:type="gramStart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стоящим</w:t>
      </w:r>
      <w:proofErr w:type="gramEnd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</w:t>
      </w:r>
      <w:r w:rsidR="00B42194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ческие компетентности….»</w:t>
      </w:r>
    </w:p>
    <w:p w:rsidR="00164F01" w:rsidRPr="0024105B" w:rsidRDefault="00164F01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государственной программе Российской Федерации «Развитие образования» на 2018-2025 годы, утверждённой постановлением Правительства РФ от 26 декабря 2017 года № 1642, на 2018-2020 годы в рамках мероприятия </w:t>
      </w: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кадрового потенциала системы дошкольного и общего образования" поставлена задача: разработка и реализация комплексной программы повышения профессионального уровня педагогических работников общеобразовательных организаций, 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овладение ими современными образовательными технологиями и методиками обучения и воспитания, знаниями, умениями и навыками.</w:t>
      </w:r>
    </w:p>
    <w:p w:rsidR="00A82253" w:rsidRPr="0024105B" w:rsidRDefault="00164F01" w:rsidP="0024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424C5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Взяв за основу </w:t>
      </w:r>
      <w:r w:rsidR="0082181C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вышеназванные</w:t>
      </w:r>
      <w:r w:rsidR="003424C5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документы</w:t>
      </w:r>
      <w:r w:rsidR="0082181C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работаем над повышением и совершенствование</w:t>
      </w:r>
      <w:r w:rsidR="00821D35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82181C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профессионализма педагогов.</w:t>
      </w:r>
      <w:r w:rsidR="003424C5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7279C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Работа ведётся в нескольких направлениях.</w:t>
      </w:r>
    </w:p>
    <w:p w:rsidR="0007279C" w:rsidRPr="0024105B" w:rsidRDefault="0007279C" w:rsidP="002410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Большое внимание уделяем аттестации педагогов. Из 13 учителей аттестованы 11, это 100% </w:t>
      </w:r>
      <w:r w:rsidRPr="00157BC6">
        <w:rPr>
          <w:rFonts w:ascii="Times New Roman" w:hAnsi="Times New Roman" w:cs="Times New Roman"/>
          <w:spacing w:val="2"/>
          <w:sz w:val="24"/>
          <w:szCs w:val="24"/>
        </w:rPr>
        <w:t xml:space="preserve">от числа </w:t>
      </w:r>
      <w:r w:rsidR="003B022E" w:rsidRPr="00157BC6">
        <w:rPr>
          <w:rFonts w:ascii="Times New Roman" w:hAnsi="Times New Roman" w:cs="Times New Roman"/>
          <w:spacing w:val="2"/>
          <w:sz w:val="24"/>
          <w:szCs w:val="24"/>
        </w:rPr>
        <w:t>подлежащих аттестации</w:t>
      </w:r>
      <w:r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Имеют высшую категорию </w:t>
      </w:r>
      <w:r w:rsidR="006D7874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учителей (4</w:t>
      </w:r>
      <w:r w:rsidR="006D7874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% от всех педагогических работников школы), </w:t>
      </w:r>
      <w:r w:rsidR="006238B0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</w:t>
      </w:r>
      <w:r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2015 году это был один человек</w:t>
      </w:r>
      <w:r w:rsidR="006238B0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6238B0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6D7874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ервую </w:t>
      </w:r>
      <w:r w:rsidR="006238B0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квалификационную </w:t>
      </w:r>
      <w:r w:rsidR="006D7874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категорию имеют 5 учителей (38% от всех педагогических работников).</w:t>
      </w:r>
      <w:r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Кроме того</w:t>
      </w:r>
      <w:r w:rsidR="004A66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аттестацию на первую квалификационную категорию прошёл старший вожатый.</w:t>
      </w:r>
      <w:r w:rsidR="006D7874"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EA650D" w:rsidRPr="0024105B" w:rsidRDefault="005B5177" w:rsidP="002410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Второе направление - это курсовая подготовка. </w:t>
      </w:r>
      <w:r w:rsidR="00EA650D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29.12.2012г. № 273-ФЗ (</w:t>
      </w:r>
      <w:proofErr w:type="spellStart"/>
      <w:r w:rsidR="00EA650D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proofErr w:type="gramStart"/>
      <w:r w:rsidR="00EA650D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="00EA650D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End"/>
      <w:r w:rsidR="00EA650D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03.08.2018) «Об образовании в Российской Федерации» </w:t>
      </w:r>
      <w:r w:rsidR="000D5ECD" w:rsidRPr="0024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47. Правовой статус педагогических работников. Права и свободы педагогических работников, гарантии их реализации</w:t>
      </w:r>
      <w:r w:rsidR="00EA650D" w:rsidRPr="0024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A650D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Педагогические работники имеют следующие трудовые права и социальные гарантии: </w:t>
      </w:r>
      <w:r w:rsidR="000D5ECD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  <w:r w:rsidR="00EA650D" w:rsidRPr="0024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48. Обязанности и ответственность педагогических работников. </w:t>
      </w:r>
      <w:r w:rsidR="00EA650D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систематически повышать свой профессиональный уровень; </w:t>
      </w:r>
    </w:p>
    <w:p w:rsidR="00EA650D" w:rsidRPr="0024105B" w:rsidRDefault="00EA650D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из 13 педагогов 12 имеют высшее педагогическое образование, один обучается на 4 курсе педагогического ВУЗа. Курсовая подготовка по профилю пройдена всеми педагогическими работниками. Обучение проходим как в очной, так и в дистанционной форме. Но для педагогов это 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выполнение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законной обязанности, им данное направление интересно, они стремятся самосовершенствоваться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повышать свою профессиональную компетентность. </w:t>
      </w: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становится ясно, если посмотреть на перечень курсов</w:t>
      </w:r>
      <w:r w:rsidR="00C66056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часто учитель проходит курсовую подготовку не только по предмету</w:t>
      </w:r>
      <w:r w:rsidR="004A66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выходя далеко за пределы предметной области.</w:t>
      </w:r>
      <w:r w:rsidR="00C66056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учебных года педагоги нашей школы стали участниками и слушателями с получением удостоверения, свидетельства или сертификата следующих </w:t>
      </w:r>
      <w:r w:rsidR="004257C3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непредметных 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курсов:</w:t>
      </w:r>
    </w:p>
    <w:p w:rsidR="00C04765" w:rsidRPr="0024105B" w:rsidRDefault="00C04765" w:rsidP="00241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- «Права участников образовательного процесса» и «ФГОС в образовательных учреждениях» - 1 чел.</w:t>
      </w:r>
    </w:p>
    <w:p w:rsidR="00C04765" w:rsidRPr="0024105B" w:rsidRDefault="00C04765" w:rsidP="00241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- «Профилактика суицидального поведения детей» - 1 чел. дистанционно</w:t>
      </w:r>
    </w:p>
    <w:p w:rsidR="00C04765" w:rsidRPr="0024105B" w:rsidRDefault="00C04765" w:rsidP="00241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-  «Информационная компетентность педагога» - 1 чел. дистанционно</w:t>
      </w:r>
    </w:p>
    <w:p w:rsidR="00C04765" w:rsidRPr="0024105B" w:rsidRDefault="00C04765" w:rsidP="00241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 xml:space="preserve">-  «Профилактика травматизма на занятиях физкультуры» - 1 </w:t>
      </w:r>
      <w:proofErr w:type="spellStart"/>
      <w:r w:rsidRPr="0024105B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>истанционно</w:t>
      </w:r>
      <w:proofErr w:type="spellEnd"/>
    </w:p>
    <w:p w:rsidR="00C04765" w:rsidRPr="0024105B" w:rsidRDefault="00C04765" w:rsidP="00241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lastRenderedPageBreak/>
        <w:t>-  «Трудовое воспитание» - 1 чел. дистанционно</w:t>
      </w:r>
    </w:p>
    <w:p w:rsidR="00C04765" w:rsidRPr="0024105B" w:rsidRDefault="00C04765" w:rsidP="00241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 xml:space="preserve">- «Организация и проведение туристских походов с обучающимися» - 1 </w:t>
      </w:r>
      <w:proofErr w:type="spellStart"/>
      <w:r w:rsidRPr="0024105B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>истанционно</w:t>
      </w:r>
      <w:proofErr w:type="spellEnd"/>
    </w:p>
    <w:p w:rsidR="00C04765" w:rsidRPr="0024105B" w:rsidRDefault="00C04765" w:rsidP="00241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- «</w:t>
      </w:r>
      <w:r w:rsidR="00A079C1" w:rsidRPr="002410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Организация деятельности службы ш</w:t>
      </w:r>
      <w:r w:rsidRPr="0024105B">
        <w:rPr>
          <w:rFonts w:ascii="Times New Roman" w:hAnsi="Times New Roman" w:cs="Times New Roman"/>
          <w:sz w:val="24"/>
          <w:szCs w:val="24"/>
        </w:rPr>
        <w:t>кольн</w:t>
      </w:r>
      <w:r w:rsidR="00A079C1" w:rsidRPr="0024105B">
        <w:rPr>
          <w:rFonts w:ascii="Times New Roman" w:hAnsi="Times New Roman" w:cs="Times New Roman"/>
          <w:sz w:val="24"/>
          <w:szCs w:val="24"/>
        </w:rPr>
        <w:t>ой</w:t>
      </w:r>
      <w:r w:rsidRPr="0024105B">
        <w:rPr>
          <w:rFonts w:ascii="Times New Roman" w:hAnsi="Times New Roman" w:cs="Times New Roman"/>
          <w:sz w:val="24"/>
          <w:szCs w:val="24"/>
        </w:rPr>
        <w:t xml:space="preserve"> медиаци</w:t>
      </w:r>
      <w:r w:rsidR="00A079C1" w:rsidRPr="0024105B">
        <w:rPr>
          <w:rFonts w:ascii="Times New Roman" w:hAnsi="Times New Roman" w:cs="Times New Roman"/>
          <w:sz w:val="24"/>
          <w:szCs w:val="24"/>
        </w:rPr>
        <w:t>и</w:t>
      </w:r>
      <w:r w:rsidRPr="0024105B">
        <w:rPr>
          <w:rFonts w:ascii="Times New Roman" w:hAnsi="Times New Roman" w:cs="Times New Roman"/>
          <w:sz w:val="24"/>
          <w:szCs w:val="24"/>
        </w:rPr>
        <w:t>» - 2 чел. очно, 1 чел. дистанционно</w:t>
      </w:r>
    </w:p>
    <w:p w:rsidR="00C04765" w:rsidRPr="0024105B" w:rsidRDefault="00C04765" w:rsidP="00241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- «Менеджмент в образовании в условиях реализации ФГОС</w:t>
      </w:r>
      <w:r w:rsidR="00CA0656">
        <w:rPr>
          <w:rFonts w:ascii="Times New Roman" w:hAnsi="Times New Roman" w:cs="Times New Roman"/>
          <w:sz w:val="24"/>
          <w:szCs w:val="24"/>
        </w:rPr>
        <w:t>»</w:t>
      </w:r>
      <w:r w:rsidRPr="0024105B"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 w:rsidRPr="0024105B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>чно</w:t>
      </w:r>
      <w:proofErr w:type="spellEnd"/>
    </w:p>
    <w:p w:rsidR="00C04765" w:rsidRPr="0024105B" w:rsidRDefault="00C04765" w:rsidP="00241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 xml:space="preserve">- «Коррекционно-педагогическое сопровождение детей с ограниченными возможностями здоровья в условиях реализации ФГОС» - 9 </w:t>
      </w:r>
      <w:proofErr w:type="spellStart"/>
      <w:r w:rsidRPr="0024105B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>чно</w:t>
      </w:r>
      <w:proofErr w:type="spellEnd"/>
      <w:r w:rsidRPr="0024105B">
        <w:rPr>
          <w:rFonts w:ascii="Times New Roman" w:hAnsi="Times New Roman" w:cs="Times New Roman"/>
          <w:sz w:val="24"/>
          <w:szCs w:val="24"/>
        </w:rPr>
        <w:t>.</w:t>
      </w:r>
    </w:p>
    <w:p w:rsidR="00C04765" w:rsidRPr="0024105B" w:rsidRDefault="00C04765" w:rsidP="002410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 xml:space="preserve">- «Профориентация в современной школе» - 2 </w:t>
      </w:r>
      <w:proofErr w:type="spellStart"/>
      <w:r w:rsidRPr="0024105B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>истанционно</w:t>
      </w:r>
      <w:proofErr w:type="spellEnd"/>
    </w:p>
    <w:p w:rsidR="00C04765" w:rsidRPr="0024105B" w:rsidRDefault="00A079C1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410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региональных </w:t>
      </w:r>
      <w:proofErr w:type="spellStart"/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обеспечения качества преподавания русского языка как родного, неродного, иностранного в образовательных организациях </w:t>
      </w: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</w:rPr>
        <w:t>истанционно</w:t>
      </w:r>
      <w:proofErr w:type="spellEnd"/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04765" w:rsidRPr="0024105B" w:rsidRDefault="00A079C1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исследовательской деятельности в условиях современной историко-культурной и природной среды» </w:t>
      </w: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</w:rPr>
        <w:t>истанционно</w:t>
      </w:r>
      <w:proofErr w:type="spellEnd"/>
    </w:p>
    <w:p w:rsidR="00C04765" w:rsidRPr="0024105B" w:rsidRDefault="00A079C1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 «Эффективные практики реализации ФГОС и адаптированных образовательных программ основного общего образования для детей с ОВЗ» </w:t>
      </w: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</w:rPr>
        <w:t>истанционно</w:t>
      </w:r>
      <w:proofErr w:type="spellEnd"/>
    </w:p>
    <w:p w:rsidR="00C04765" w:rsidRPr="0024105B" w:rsidRDefault="00A079C1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 «Профессиональное развитие учителя как фактор обеспечения современного качества образования» </w:t>
      </w: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</w:rPr>
        <w:t>истанционно</w:t>
      </w:r>
      <w:proofErr w:type="spellEnd"/>
    </w:p>
    <w:p w:rsidR="00C04765" w:rsidRPr="0024105B" w:rsidRDefault="00A079C1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 «Методика оценивания заданий с развёрнутым ответом ОГЭ по литературе</w:t>
      </w: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 и русскому языку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 - 1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</w:rPr>
        <w:t>истанционно</w:t>
      </w:r>
      <w:proofErr w:type="spellEnd"/>
    </w:p>
    <w:p w:rsidR="00A079C1" w:rsidRPr="0024105B" w:rsidRDefault="00A079C1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 «Методика оценивания заданий с развёрнутым ответом ЕГЭ по русскому языку» </w:t>
      </w: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</w:rPr>
        <w:t>истанционно</w:t>
      </w:r>
      <w:proofErr w:type="spellEnd"/>
    </w:p>
    <w:p w:rsidR="00A079C1" w:rsidRPr="0024105B" w:rsidRDefault="00A079C1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4765" w:rsidRPr="0024105B">
        <w:rPr>
          <w:rFonts w:ascii="Times New Roman" w:eastAsia="Times New Roman" w:hAnsi="Times New Roman" w:cs="Times New Roman"/>
          <w:sz w:val="24"/>
          <w:szCs w:val="24"/>
        </w:rPr>
        <w:t xml:space="preserve"> «Методика оценивания заданий с развёрнутым ответом ГВЭ по русскому языку» </w:t>
      </w: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</w:rPr>
        <w:t>истанционно</w:t>
      </w:r>
      <w:proofErr w:type="spellEnd"/>
    </w:p>
    <w:p w:rsidR="004257C3" w:rsidRPr="0024105B" w:rsidRDefault="004257C3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105B">
        <w:rPr>
          <w:rFonts w:ascii="Times New Roman" w:hAnsi="Times New Roman" w:cs="Times New Roman"/>
          <w:sz w:val="24"/>
          <w:szCs w:val="24"/>
        </w:rPr>
        <w:t xml:space="preserve">«Организация профилактической работы в ОО по вопросам заболеваний, связанных с риском поведения» - 1 </w:t>
      </w:r>
      <w:proofErr w:type="spellStart"/>
      <w:r w:rsidRPr="0024105B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>истанционно</w:t>
      </w:r>
      <w:proofErr w:type="spellEnd"/>
    </w:p>
    <w:p w:rsidR="004257C3" w:rsidRPr="0024105B" w:rsidRDefault="004257C3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 xml:space="preserve">- «Актуальные проблемы преподавания курса «Основы православной культуры» в условиях реализации ФГОС НОО» - 2 чел. очно, 1 </w:t>
      </w:r>
      <w:proofErr w:type="spellStart"/>
      <w:r w:rsidRPr="0024105B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>истанционно</w:t>
      </w:r>
      <w:proofErr w:type="spellEnd"/>
      <w:r w:rsidRPr="0024105B">
        <w:rPr>
          <w:rFonts w:ascii="Times New Roman" w:hAnsi="Times New Roman" w:cs="Times New Roman"/>
          <w:sz w:val="24"/>
          <w:szCs w:val="24"/>
        </w:rPr>
        <w:t>.</w:t>
      </w:r>
    </w:p>
    <w:p w:rsidR="004257C3" w:rsidRPr="0024105B" w:rsidRDefault="004257C3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Учителя являются активными участниками и слушателями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="00291F58" w:rsidRPr="0024105B">
        <w:rPr>
          <w:rFonts w:ascii="Times New Roman" w:eastAsia="Times New Roman" w:hAnsi="Times New Roman" w:cs="Times New Roman"/>
          <w:sz w:val="24"/>
          <w:szCs w:val="24"/>
        </w:rPr>
        <w:t>. Вот некоторые примеры:</w:t>
      </w:r>
    </w:p>
    <w:p w:rsidR="00291F58" w:rsidRPr="0024105B" w:rsidRDefault="00291F58" w:rsidP="00241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- «Цифровая  школа: определение терминов и понятий»;</w:t>
      </w:r>
    </w:p>
    <w:p w:rsidR="00291F58" w:rsidRPr="0024105B" w:rsidRDefault="00291F58" w:rsidP="00241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-  «Секреты успешного репетитора»;</w:t>
      </w:r>
    </w:p>
    <w:p w:rsidR="004257C3" w:rsidRPr="0024105B" w:rsidRDefault="00291F58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 xml:space="preserve">- «Школа без 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отстающих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>: благие намерения и реальные возможности»;</w:t>
      </w:r>
    </w:p>
    <w:p w:rsidR="00291F58" w:rsidRPr="0024105B" w:rsidRDefault="00291F58" w:rsidP="0024105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«Особенности исследовательской и проектной деятельности школьников в полевых условиях»;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«Мультимедийные технологии на уроках. Создаем индивидуальную презентацию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»;.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процессе»;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105B">
        <w:rPr>
          <w:rFonts w:ascii="Times New Roman" w:eastAsia="Calibri" w:hAnsi="Times New Roman" w:cs="Times New Roman"/>
          <w:sz w:val="24"/>
          <w:szCs w:val="24"/>
        </w:rPr>
        <w:t>«Готовимся к олимпиаде»;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-  «Контроль и диагностика на уроках»; 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- «ЭФУ в проектной деятельности школьника»; 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- «ЭФУ и ЭОР – универсальные цифровые инструменты для конструирования современного урока в 5-11 классах»; 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- «ИКТ в образовании: инструменты и сценарии»; 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- «Формирование </w:t>
      </w:r>
      <w:proofErr w:type="spellStart"/>
      <w:r w:rsidRPr="0024105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 понятий средствами ЭОР»; 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>- Информационная безопасность учащихся в сети Интернет. Обзор электронной программы повышения квалификации для педагогов»;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>- «ОГЭ и ЕГЭ 2018 года по …: обзор демоверсий контрольно измерительных материалов. Планирование и организация работы по подготовке к экзаменам»;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>-  «ОГЭ 2018 года по …: основные проблемы подготовки обучающихся к экзамену и пути их решения»;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4105B">
        <w:rPr>
          <w:rFonts w:ascii="Times New Roman" w:hAnsi="Times New Roman" w:cs="Times New Roman"/>
          <w:sz w:val="24"/>
          <w:szCs w:val="24"/>
        </w:rPr>
        <w:t xml:space="preserve">«Психолого-педагогические основы развития творчества 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>»;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 xml:space="preserve">- «Творческая самореализация 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 xml:space="preserve"> в урочной и внеурочной</w:t>
      </w:r>
      <w:r w:rsidRPr="0024105B">
        <w:rPr>
          <w:rFonts w:ascii="Times New Roman" w:hAnsi="Times New Roman" w:cs="Times New Roman"/>
          <w:sz w:val="24"/>
          <w:szCs w:val="24"/>
        </w:rPr>
        <w:br/>
        <w:t>деятельности»;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lastRenderedPageBreak/>
        <w:t>- «Развитие творческих способностей обучающихся в системе</w:t>
      </w:r>
      <w:r w:rsidRPr="0024105B">
        <w:rPr>
          <w:rFonts w:ascii="Times New Roman" w:hAnsi="Times New Roman" w:cs="Times New Roman"/>
          <w:sz w:val="24"/>
          <w:szCs w:val="24"/>
        </w:rPr>
        <w:br/>
        <w:t>образования»;</w:t>
      </w:r>
    </w:p>
    <w:p w:rsidR="00291F58" w:rsidRPr="0024105B" w:rsidRDefault="00291F58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>- «</w:t>
      </w:r>
      <w:r w:rsidRPr="0024105B">
        <w:rPr>
          <w:rFonts w:ascii="Times New Roman" w:hAnsi="Times New Roman" w:cs="Times New Roman"/>
          <w:sz w:val="24"/>
          <w:szCs w:val="24"/>
        </w:rPr>
        <w:t>Арт-терапия и развитие творческих способностей»;</w:t>
      </w:r>
    </w:p>
    <w:p w:rsidR="00921EE5" w:rsidRPr="0024105B" w:rsidRDefault="00291F58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- «Диагностика уровня развития творческих способностей обучающихся</w:t>
      </w:r>
      <w:r w:rsidR="00921EE5" w:rsidRPr="0024105B">
        <w:rPr>
          <w:rFonts w:ascii="Times New Roman" w:hAnsi="Times New Roman" w:cs="Times New Roman"/>
          <w:sz w:val="24"/>
          <w:szCs w:val="24"/>
        </w:rPr>
        <w:t>»;</w:t>
      </w:r>
    </w:p>
    <w:p w:rsidR="004A66F4" w:rsidRPr="004A66F4" w:rsidRDefault="0067315E" w:rsidP="002410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>Третье направление - инновационная деятельность</w:t>
      </w:r>
      <w:r w:rsidR="00921EE5" w:rsidRPr="0024105B">
        <w:rPr>
          <w:rFonts w:ascii="Times New Roman" w:eastAsia="Calibri" w:hAnsi="Times New Roman" w:cs="Times New Roman"/>
          <w:sz w:val="24"/>
          <w:szCs w:val="24"/>
        </w:rPr>
        <w:t>, которой в «Законе об образовании в РФ» посвящена</w:t>
      </w: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EE5" w:rsidRPr="0024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20. Экспериментальная и инновационная деятельность в сфере образования. </w:t>
      </w:r>
    </w:p>
    <w:p w:rsidR="00605CDD" w:rsidRPr="004A66F4" w:rsidRDefault="009209DC" w:rsidP="004A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F4">
        <w:rPr>
          <w:rFonts w:ascii="Times New Roman" w:eastAsia="Calibri" w:hAnsi="Times New Roman" w:cs="Times New Roman"/>
          <w:sz w:val="24"/>
          <w:szCs w:val="24"/>
        </w:rPr>
        <w:t xml:space="preserve">Инновационная деятельность </w:t>
      </w:r>
      <w:r w:rsidRPr="004A66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 является неотъемлемой частью процесса его профессионального совершенствования. </w:t>
      </w:r>
      <w:r w:rsidR="00605CDD" w:rsidRPr="004A66F4">
        <w:rPr>
          <w:rFonts w:ascii="Times New Roman" w:eastAsia="Calibri" w:hAnsi="Times New Roman" w:cs="Times New Roman"/>
          <w:sz w:val="24"/>
          <w:szCs w:val="24"/>
        </w:rPr>
        <w:t>В 2017-2018 учебном году на базе нашей ОО была организована работа муниципальной инновационной площадки по теме «</w:t>
      </w:r>
      <w:r w:rsidR="00605CDD" w:rsidRPr="004A66F4">
        <w:rPr>
          <w:rFonts w:ascii="Times New Roman" w:eastAsia="+mn-ea" w:hAnsi="Times New Roman" w:cs="Times New Roman"/>
          <w:bCs/>
          <w:kern w:val="24"/>
          <w:sz w:val="24"/>
          <w:szCs w:val="24"/>
        </w:rPr>
        <w:t>Интеграция и интегрированные уроки в условиях введения ФГОС» (</w:t>
      </w:r>
      <w:r w:rsidR="00605CDD" w:rsidRPr="004A66F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Приказ УОМП от 25.08.17г. № 128 «Об организации работы муниципальных инновационных площадок образовательных организаций </w:t>
      </w:r>
      <w:proofErr w:type="spellStart"/>
      <w:r w:rsidR="00605CDD" w:rsidRPr="004A66F4">
        <w:rPr>
          <w:rFonts w:ascii="Times New Roman" w:eastAsia="+mn-ea" w:hAnsi="Times New Roman" w:cs="Times New Roman"/>
          <w:kern w:val="24"/>
          <w:sz w:val="24"/>
          <w:szCs w:val="24"/>
        </w:rPr>
        <w:t>Вадского</w:t>
      </w:r>
      <w:proofErr w:type="spellEnd"/>
      <w:r w:rsidR="00605CDD" w:rsidRPr="004A66F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муниципального района Нижегородской области на 2017-2018 учебный год»). </w:t>
      </w:r>
      <w:proofErr w:type="gramStart"/>
      <w:r w:rsidR="00605CDD" w:rsidRPr="004A66F4">
        <w:rPr>
          <w:rFonts w:ascii="Times New Roman" w:eastAsia="+mn-ea" w:hAnsi="Times New Roman" w:cs="Times New Roman"/>
          <w:kern w:val="24"/>
          <w:sz w:val="24"/>
          <w:szCs w:val="24"/>
        </w:rPr>
        <w:t>В данное направление работы включились 10 учителей (Приказ МАОУ</w:t>
      </w:r>
      <w:proofErr w:type="gramEnd"/>
      <w:r w:rsidR="00605CDD" w:rsidRPr="004A66F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gramStart"/>
      <w:r w:rsidR="00605CDD" w:rsidRPr="004A66F4">
        <w:rPr>
          <w:rFonts w:ascii="Times New Roman" w:eastAsia="+mn-ea" w:hAnsi="Times New Roman" w:cs="Times New Roman"/>
          <w:kern w:val="24"/>
          <w:sz w:val="24"/>
          <w:szCs w:val="24"/>
        </w:rPr>
        <w:t>«Новомирская ООШ» от 31.08.2017г. № 164).</w:t>
      </w:r>
      <w:proofErr w:type="gramEnd"/>
      <w:r w:rsidR="00605CDD" w:rsidRPr="004A66F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 рамках данного направления работы проводились интегрированные уроки и внеклассные мероприятия. Учителя делились опытом работы на РМО и семинаре директоров на базе нашей ОО. Деятельность площадки продолжится и в этом учебном году, а в плане у педагогического коллектива - выход инновационной деятельности на новый (более высокий) уровень.</w:t>
      </w:r>
    </w:p>
    <w:p w:rsidR="00546F7E" w:rsidRDefault="00142A4D" w:rsidP="0024105B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rFonts w:eastAsia="Calibri"/>
        </w:rPr>
      </w:pPr>
      <w:r w:rsidRPr="0024105B">
        <w:rPr>
          <w:rFonts w:eastAsia="Calibri"/>
        </w:rPr>
        <w:t>Показателем профессиональног</w:t>
      </w:r>
      <w:r w:rsidR="00203049" w:rsidRPr="0024105B">
        <w:rPr>
          <w:rFonts w:eastAsia="Calibri"/>
        </w:rPr>
        <w:t xml:space="preserve">о роста, творческого развития и </w:t>
      </w:r>
      <w:r w:rsidRPr="0024105B">
        <w:rPr>
          <w:rFonts w:eastAsia="Calibri"/>
        </w:rPr>
        <w:t>самосовершенствования является</w:t>
      </w:r>
      <w:r w:rsidR="00E523F4" w:rsidRPr="0024105B">
        <w:rPr>
          <w:rFonts w:eastAsia="Calibri"/>
        </w:rPr>
        <w:t xml:space="preserve"> участие </w:t>
      </w:r>
      <w:r w:rsidRPr="0024105B">
        <w:rPr>
          <w:rFonts w:eastAsia="Calibri"/>
        </w:rPr>
        <w:t xml:space="preserve">самих </w:t>
      </w:r>
      <w:r w:rsidR="00E523F4" w:rsidRPr="0024105B">
        <w:rPr>
          <w:rFonts w:eastAsia="Calibri"/>
        </w:rPr>
        <w:t>педагогов</w:t>
      </w:r>
      <w:r w:rsidRPr="0024105B">
        <w:rPr>
          <w:rFonts w:eastAsia="Calibri"/>
        </w:rPr>
        <w:t xml:space="preserve"> и их учеников</w:t>
      </w:r>
      <w:r w:rsidR="00E523F4" w:rsidRPr="0024105B">
        <w:rPr>
          <w:rFonts w:eastAsia="Calibri"/>
        </w:rPr>
        <w:t xml:space="preserve"> в конкурсах и конференциях</w:t>
      </w:r>
      <w:r w:rsidRPr="0024105B">
        <w:rPr>
          <w:rFonts w:eastAsia="Calibri"/>
        </w:rPr>
        <w:t xml:space="preserve">. </w:t>
      </w:r>
    </w:p>
    <w:p w:rsidR="0062548B" w:rsidRPr="008F7860" w:rsidRDefault="0062548B" w:rsidP="0062548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60">
        <w:rPr>
          <w:rFonts w:ascii="Times New Roman" w:eastAsia="Calibri" w:hAnsi="Times New Roman" w:cs="Times New Roman"/>
          <w:sz w:val="24"/>
          <w:szCs w:val="24"/>
        </w:rPr>
        <w:t>Таблица участия в конкурсах учеников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358"/>
        <w:gridCol w:w="3974"/>
        <w:gridCol w:w="1855"/>
      </w:tblGrid>
      <w:tr w:rsidR="0062548B" w:rsidTr="008F7860">
        <w:tc>
          <w:tcPr>
            <w:tcW w:w="1384" w:type="dxa"/>
          </w:tcPr>
          <w:p w:rsidR="0062548B" w:rsidRDefault="0062548B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Учебный год</w:t>
            </w:r>
          </w:p>
        </w:tc>
        <w:tc>
          <w:tcPr>
            <w:tcW w:w="2358" w:type="dxa"/>
          </w:tcPr>
          <w:p w:rsidR="0062548B" w:rsidRDefault="0062548B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конкурсов</w:t>
            </w:r>
          </w:p>
        </w:tc>
        <w:tc>
          <w:tcPr>
            <w:tcW w:w="3974" w:type="dxa"/>
          </w:tcPr>
          <w:p w:rsidR="0062548B" w:rsidRDefault="0062548B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учеников, принявших участие/ % от общего количества учеников школы</w:t>
            </w:r>
          </w:p>
        </w:tc>
        <w:tc>
          <w:tcPr>
            <w:tcW w:w="1855" w:type="dxa"/>
          </w:tcPr>
          <w:p w:rsidR="0062548B" w:rsidRDefault="0062548B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результативных конкурсов</w:t>
            </w:r>
          </w:p>
        </w:tc>
      </w:tr>
      <w:tr w:rsidR="007E6E0C" w:rsidTr="008F7860">
        <w:tc>
          <w:tcPr>
            <w:tcW w:w="1384" w:type="dxa"/>
          </w:tcPr>
          <w:p w:rsidR="007E6E0C" w:rsidRDefault="007E6E0C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2015-2016</w:t>
            </w:r>
          </w:p>
        </w:tc>
        <w:tc>
          <w:tcPr>
            <w:tcW w:w="2358" w:type="dxa"/>
          </w:tcPr>
          <w:p w:rsidR="007E6E0C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3FCD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4" w:type="dxa"/>
          </w:tcPr>
          <w:p w:rsidR="007E6E0C" w:rsidRPr="007E6E0C" w:rsidRDefault="007E6E0C" w:rsidP="007E6E0C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513FCD">
              <w:rPr>
                <w:color w:val="000000"/>
              </w:rPr>
              <w:t>36  учеников  </w:t>
            </w:r>
            <w:r w:rsidRPr="007E6E0C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51,4 %</w:t>
            </w:r>
          </w:p>
        </w:tc>
        <w:tc>
          <w:tcPr>
            <w:tcW w:w="1855" w:type="dxa"/>
          </w:tcPr>
          <w:p w:rsidR="007E6E0C" w:rsidRDefault="007E6E0C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513FCD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(79 %)</w:t>
            </w:r>
          </w:p>
        </w:tc>
      </w:tr>
      <w:tr w:rsidR="007E6E0C" w:rsidTr="008F7860">
        <w:tc>
          <w:tcPr>
            <w:tcW w:w="1384" w:type="dxa"/>
          </w:tcPr>
          <w:p w:rsidR="007E6E0C" w:rsidRDefault="007E6E0C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2016-2017</w:t>
            </w:r>
          </w:p>
        </w:tc>
        <w:tc>
          <w:tcPr>
            <w:tcW w:w="2358" w:type="dxa"/>
          </w:tcPr>
          <w:p w:rsidR="007E6E0C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муниципальных;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региональных;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всероссийских;</w:t>
            </w:r>
          </w:p>
          <w:p w:rsidR="00513FCD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международных;</w:t>
            </w:r>
          </w:p>
        </w:tc>
        <w:tc>
          <w:tcPr>
            <w:tcW w:w="3974" w:type="dxa"/>
          </w:tcPr>
          <w:p w:rsidR="007E6E0C" w:rsidRDefault="008F7860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75 учеников </w:t>
            </w:r>
            <w:r w:rsidR="007E6E0C">
              <w:rPr>
                <w:rFonts w:eastAsia="Calibri"/>
              </w:rPr>
              <w:t>/ 100 %</w:t>
            </w:r>
          </w:p>
        </w:tc>
        <w:tc>
          <w:tcPr>
            <w:tcW w:w="1855" w:type="dxa"/>
          </w:tcPr>
          <w:p w:rsidR="007E6E0C" w:rsidRDefault="007E6E0C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513FCD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(72 %)</w:t>
            </w:r>
          </w:p>
        </w:tc>
      </w:tr>
      <w:tr w:rsidR="007E6E0C" w:rsidTr="008F7860">
        <w:tc>
          <w:tcPr>
            <w:tcW w:w="1384" w:type="dxa"/>
          </w:tcPr>
          <w:p w:rsidR="007E6E0C" w:rsidRDefault="007E6E0C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2017-2018</w:t>
            </w:r>
          </w:p>
        </w:tc>
        <w:tc>
          <w:tcPr>
            <w:tcW w:w="2358" w:type="dxa"/>
          </w:tcPr>
          <w:p w:rsidR="007E6E0C" w:rsidRDefault="002F25DF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7E6E0C"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62:</w:t>
            </w:r>
          </w:p>
          <w:p w:rsidR="002F25DF" w:rsidRPr="00513FCD" w:rsidRDefault="002F25DF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муниципальных;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региональных;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всероссийских;</w:t>
            </w:r>
          </w:p>
          <w:p w:rsidR="007E6E0C" w:rsidRPr="00513FCD" w:rsidRDefault="007E6E0C" w:rsidP="007E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международных;</w:t>
            </w:r>
          </w:p>
          <w:p w:rsidR="00513FCD" w:rsidRPr="00513FCD" w:rsidRDefault="007E6E0C" w:rsidP="002F25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(результативных /55,7%)</w:t>
            </w:r>
          </w:p>
        </w:tc>
        <w:tc>
          <w:tcPr>
            <w:tcW w:w="3974" w:type="dxa"/>
          </w:tcPr>
          <w:p w:rsidR="007E6E0C" w:rsidRDefault="008F7860" w:rsidP="00546F7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 учеников / 100 %</w:t>
            </w:r>
          </w:p>
        </w:tc>
        <w:tc>
          <w:tcPr>
            <w:tcW w:w="1855" w:type="dxa"/>
          </w:tcPr>
          <w:p w:rsidR="007E6E0C" w:rsidRDefault="008F7860" w:rsidP="008F7860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35</w:t>
            </w:r>
            <w:r w:rsidR="002F25D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55,7</w:t>
            </w:r>
            <w:r w:rsidR="002F25DF">
              <w:rPr>
                <w:color w:val="000000"/>
              </w:rPr>
              <w:t xml:space="preserve"> %)</w:t>
            </w:r>
          </w:p>
        </w:tc>
      </w:tr>
    </w:tbl>
    <w:p w:rsidR="0062548B" w:rsidRPr="008F7860" w:rsidRDefault="0062548B" w:rsidP="0062548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60">
        <w:rPr>
          <w:rFonts w:ascii="Times New Roman" w:eastAsia="Calibri" w:hAnsi="Times New Roman" w:cs="Times New Roman"/>
          <w:sz w:val="24"/>
          <w:szCs w:val="24"/>
        </w:rPr>
        <w:t>Таблица участия в конкурсах педагогов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951"/>
        <w:gridCol w:w="2393"/>
      </w:tblGrid>
      <w:tr w:rsidR="0062548B" w:rsidTr="00A80B9B">
        <w:tc>
          <w:tcPr>
            <w:tcW w:w="1384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Учебный год</w:t>
            </w:r>
          </w:p>
        </w:tc>
        <w:tc>
          <w:tcPr>
            <w:tcW w:w="1843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конкурсов</w:t>
            </w:r>
          </w:p>
        </w:tc>
        <w:tc>
          <w:tcPr>
            <w:tcW w:w="3951" w:type="dxa"/>
          </w:tcPr>
          <w:p w:rsidR="0062548B" w:rsidRDefault="0062548B" w:rsidP="0062548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педагогов, принявших участие/ % от общего количества педагогических работников школы</w:t>
            </w:r>
          </w:p>
        </w:tc>
        <w:tc>
          <w:tcPr>
            <w:tcW w:w="2393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результативных конкурсов</w:t>
            </w:r>
          </w:p>
        </w:tc>
      </w:tr>
      <w:tr w:rsidR="0062548B" w:rsidTr="00A80B9B">
        <w:tc>
          <w:tcPr>
            <w:tcW w:w="1384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2015-2016</w:t>
            </w:r>
          </w:p>
        </w:tc>
        <w:tc>
          <w:tcPr>
            <w:tcW w:w="1843" w:type="dxa"/>
          </w:tcPr>
          <w:p w:rsidR="0062548B" w:rsidRDefault="008F7860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951" w:type="dxa"/>
          </w:tcPr>
          <w:p w:rsidR="0062548B" w:rsidRDefault="008F7860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 / 62 %</w:t>
            </w:r>
          </w:p>
        </w:tc>
        <w:tc>
          <w:tcPr>
            <w:tcW w:w="2393" w:type="dxa"/>
          </w:tcPr>
          <w:p w:rsidR="0062548B" w:rsidRDefault="008F7860" w:rsidP="00A80B9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17 </w:t>
            </w:r>
            <w:r w:rsidR="00A80B9B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65,3%</w:t>
            </w:r>
            <w:r w:rsidR="00A80B9B">
              <w:rPr>
                <w:rFonts w:eastAsia="Calibri"/>
              </w:rPr>
              <w:t>)</w:t>
            </w:r>
          </w:p>
        </w:tc>
      </w:tr>
      <w:tr w:rsidR="0062548B" w:rsidTr="00A80B9B">
        <w:tc>
          <w:tcPr>
            <w:tcW w:w="1384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2016-2017</w:t>
            </w:r>
          </w:p>
        </w:tc>
        <w:tc>
          <w:tcPr>
            <w:tcW w:w="1843" w:type="dxa"/>
          </w:tcPr>
          <w:p w:rsidR="0062548B" w:rsidRDefault="008F7860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951" w:type="dxa"/>
          </w:tcPr>
          <w:p w:rsidR="0062548B" w:rsidRDefault="008F7860" w:rsidP="008F7860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/ 77 %</w:t>
            </w:r>
          </w:p>
        </w:tc>
        <w:tc>
          <w:tcPr>
            <w:tcW w:w="2393" w:type="dxa"/>
          </w:tcPr>
          <w:p w:rsidR="0062548B" w:rsidRDefault="00A80B9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  (</w:t>
            </w:r>
            <w:r w:rsidR="008F7860">
              <w:rPr>
                <w:rFonts w:eastAsia="Calibri"/>
              </w:rPr>
              <w:t>75 %</w:t>
            </w:r>
            <w:r>
              <w:rPr>
                <w:rFonts w:eastAsia="Calibri"/>
              </w:rPr>
              <w:t>)</w:t>
            </w:r>
          </w:p>
        </w:tc>
      </w:tr>
      <w:tr w:rsidR="0062548B" w:rsidTr="00A80B9B">
        <w:tc>
          <w:tcPr>
            <w:tcW w:w="1384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2017-2018</w:t>
            </w:r>
          </w:p>
        </w:tc>
        <w:tc>
          <w:tcPr>
            <w:tcW w:w="1843" w:type="dxa"/>
          </w:tcPr>
          <w:p w:rsidR="0062548B" w:rsidRDefault="008F7860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951" w:type="dxa"/>
          </w:tcPr>
          <w:p w:rsidR="0062548B" w:rsidRDefault="008F7860" w:rsidP="008F7860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 / 77 %</w:t>
            </w:r>
          </w:p>
        </w:tc>
        <w:tc>
          <w:tcPr>
            <w:tcW w:w="2393" w:type="dxa"/>
          </w:tcPr>
          <w:p w:rsidR="0062548B" w:rsidRDefault="008F7860" w:rsidP="00A80B9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12 </w:t>
            </w:r>
            <w:r w:rsidR="00A80B9B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67 %</w:t>
            </w:r>
            <w:r w:rsidR="00A80B9B">
              <w:rPr>
                <w:rFonts w:eastAsia="Calibri"/>
              </w:rPr>
              <w:t>)</w:t>
            </w:r>
          </w:p>
        </w:tc>
      </w:tr>
    </w:tbl>
    <w:p w:rsidR="0062548B" w:rsidRPr="0024105B" w:rsidRDefault="0062548B" w:rsidP="00546F7E">
      <w:pPr>
        <w:pStyle w:val="a5"/>
        <w:spacing w:before="0" w:beforeAutospacing="0" w:after="0" w:afterAutospacing="0"/>
        <w:jc w:val="both"/>
        <w:rPr>
          <w:rFonts w:eastAsia="Calibri"/>
        </w:rPr>
      </w:pPr>
    </w:p>
    <w:p w:rsidR="00203049" w:rsidRPr="0024105B" w:rsidRDefault="00203049" w:rsidP="00241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Последние два года мы принимаем участие в конкурсном отборе Русского географического общества. Два ученика стали победителями. В 2017 году один ученик отдохнул </w:t>
      </w:r>
      <w:proofErr w:type="gramStart"/>
      <w:r w:rsidRPr="0024105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 Всероссийском детском центре «Океан» на берегу Японского моря, в 2018 году один ученик отдохнул в Всероссийском детском центре «Орлёнок»  на берегу Чёрного моря. Ученики  приняли участие в профильных сменах РГО «Мир открытий», в рамках которых они не просто отдыхали, но и 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выполняли проекты, исследовательские работы, участвовали в мастер-классах с ведущими специалистами в области метеорологии, картографии, экологии, палеонтологии, микробиологии и представителей других сложных, но интересных профессий.</w:t>
      </w: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2A4D" w:rsidRPr="0024105B" w:rsidRDefault="00142A4D" w:rsidP="00241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Ученики участвуют в исследовательской и проектной деятельности, выходом данного вида деятельности является участие педагогов и их учеников в конференциях. Свои исследовательские и проектные работы ученики представляют на конференциях разных уровней с очным и заочным участием. </w:t>
      </w:r>
    </w:p>
    <w:p w:rsidR="0062548B" w:rsidRPr="00020BCB" w:rsidRDefault="0062548B" w:rsidP="0062548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CB">
        <w:rPr>
          <w:rFonts w:ascii="Times New Roman" w:eastAsia="Calibri" w:hAnsi="Times New Roman" w:cs="Times New Roman"/>
          <w:sz w:val="24"/>
          <w:szCs w:val="24"/>
        </w:rPr>
        <w:t>Таблица участия в конференциях учеников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526"/>
        <w:gridCol w:w="2393"/>
      </w:tblGrid>
      <w:tr w:rsidR="0062548B" w:rsidTr="006F749D">
        <w:tc>
          <w:tcPr>
            <w:tcW w:w="1809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Учебный год</w:t>
            </w:r>
          </w:p>
        </w:tc>
        <w:tc>
          <w:tcPr>
            <w:tcW w:w="1843" w:type="dxa"/>
          </w:tcPr>
          <w:p w:rsidR="0062548B" w:rsidRDefault="0062548B" w:rsidP="00020BC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="00020BCB">
              <w:rPr>
                <w:rFonts w:eastAsia="Calibri"/>
              </w:rPr>
              <w:t>конференций</w:t>
            </w:r>
          </w:p>
        </w:tc>
        <w:tc>
          <w:tcPr>
            <w:tcW w:w="3526" w:type="dxa"/>
          </w:tcPr>
          <w:p w:rsidR="0062548B" w:rsidRDefault="0062548B" w:rsidP="00020BC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учеников, принявших участие</w:t>
            </w:r>
          </w:p>
        </w:tc>
        <w:tc>
          <w:tcPr>
            <w:tcW w:w="2393" w:type="dxa"/>
          </w:tcPr>
          <w:p w:rsidR="0062548B" w:rsidRDefault="0062548B" w:rsidP="00020BC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proofErr w:type="gramStart"/>
            <w:r>
              <w:rPr>
                <w:rFonts w:eastAsia="Calibri"/>
              </w:rPr>
              <w:t>результативных</w:t>
            </w:r>
            <w:proofErr w:type="gramEnd"/>
            <w:r>
              <w:rPr>
                <w:rFonts w:eastAsia="Calibri"/>
              </w:rPr>
              <w:t xml:space="preserve"> </w:t>
            </w:r>
          </w:p>
        </w:tc>
      </w:tr>
      <w:tr w:rsidR="0062548B" w:rsidTr="006F749D">
        <w:tc>
          <w:tcPr>
            <w:tcW w:w="1809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2015-2016</w:t>
            </w:r>
          </w:p>
        </w:tc>
        <w:tc>
          <w:tcPr>
            <w:tcW w:w="1843" w:type="dxa"/>
          </w:tcPr>
          <w:p w:rsidR="0062548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26" w:type="dxa"/>
          </w:tcPr>
          <w:p w:rsidR="0062548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93" w:type="dxa"/>
          </w:tcPr>
          <w:p w:rsidR="0062548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62548B" w:rsidTr="006F749D">
        <w:tc>
          <w:tcPr>
            <w:tcW w:w="1809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2016-2017</w:t>
            </w:r>
          </w:p>
        </w:tc>
        <w:tc>
          <w:tcPr>
            <w:tcW w:w="1843" w:type="dxa"/>
          </w:tcPr>
          <w:p w:rsidR="0062548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26" w:type="dxa"/>
          </w:tcPr>
          <w:p w:rsidR="0062548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93" w:type="dxa"/>
          </w:tcPr>
          <w:p w:rsidR="0062548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2548B" w:rsidTr="006F749D">
        <w:tc>
          <w:tcPr>
            <w:tcW w:w="1809" w:type="dxa"/>
          </w:tcPr>
          <w:p w:rsidR="0062548B" w:rsidRDefault="0062548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2017-2018</w:t>
            </w:r>
          </w:p>
        </w:tc>
        <w:tc>
          <w:tcPr>
            <w:tcW w:w="1843" w:type="dxa"/>
          </w:tcPr>
          <w:p w:rsidR="0062548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526" w:type="dxa"/>
          </w:tcPr>
          <w:p w:rsidR="0062548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93" w:type="dxa"/>
          </w:tcPr>
          <w:p w:rsidR="0062548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:rsidR="0062548B" w:rsidRPr="00020BCB" w:rsidRDefault="0062548B" w:rsidP="0062548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BCB">
        <w:rPr>
          <w:rFonts w:ascii="Times New Roman" w:eastAsia="Calibri" w:hAnsi="Times New Roman" w:cs="Times New Roman"/>
          <w:sz w:val="24"/>
          <w:szCs w:val="24"/>
        </w:rPr>
        <w:t>Таблица участия в конференциях педагогов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2977"/>
        <w:gridCol w:w="4820"/>
      </w:tblGrid>
      <w:tr w:rsidR="00020BCB" w:rsidTr="00020BCB">
        <w:tc>
          <w:tcPr>
            <w:tcW w:w="1809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Учебный год</w:t>
            </w:r>
          </w:p>
        </w:tc>
        <w:tc>
          <w:tcPr>
            <w:tcW w:w="2977" w:type="dxa"/>
          </w:tcPr>
          <w:p w:rsidR="00020BCB" w:rsidRDefault="00020BCB" w:rsidP="00020BC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конференций</w:t>
            </w:r>
          </w:p>
        </w:tc>
        <w:tc>
          <w:tcPr>
            <w:tcW w:w="4820" w:type="dxa"/>
          </w:tcPr>
          <w:p w:rsidR="00020BCB" w:rsidRDefault="00020BCB" w:rsidP="00020BC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педагогов, принявших участие</w:t>
            </w:r>
          </w:p>
        </w:tc>
      </w:tr>
      <w:tr w:rsidR="00020BCB" w:rsidTr="00020BCB">
        <w:tc>
          <w:tcPr>
            <w:tcW w:w="1809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2015-2016</w:t>
            </w:r>
          </w:p>
        </w:tc>
        <w:tc>
          <w:tcPr>
            <w:tcW w:w="2977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20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20BCB" w:rsidTr="00020BCB">
        <w:tc>
          <w:tcPr>
            <w:tcW w:w="1809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2016-2017</w:t>
            </w:r>
          </w:p>
        </w:tc>
        <w:tc>
          <w:tcPr>
            <w:tcW w:w="2977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20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20BCB" w:rsidTr="00020BCB">
        <w:tc>
          <w:tcPr>
            <w:tcW w:w="1809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2017-2018</w:t>
            </w:r>
          </w:p>
        </w:tc>
        <w:tc>
          <w:tcPr>
            <w:tcW w:w="2977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20" w:type="dxa"/>
          </w:tcPr>
          <w:p w:rsidR="00020BCB" w:rsidRDefault="00020BCB" w:rsidP="006F749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</w:tbl>
    <w:p w:rsidR="00142A4D" w:rsidRPr="0024105B" w:rsidRDefault="00804B14" w:rsidP="002410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В 2018 году </w:t>
      </w:r>
      <w:r w:rsidRPr="00157BC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A0656" w:rsidRPr="00157BC6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157BC6" w:rsidRPr="00157BC6">
        <w:rPr>
          <w:rFonts w:ascii="Times New Roman" w:eastAsia="Calibri" w:hAnsi="Times New Roman" w:cs="Times New Roman"/>
          <w:sz w:val="24"/>
          <w:szCs w:val="24"/>
        </w:rPr>
        <w:t>е</w:t>
      </w:r>
      <w:r w:rsidR="00CA0656" w:rsidRPr="00157BC6">
        <w:rPr>
          <w:rFonts w:ascii="Times New Roman" w:eastAsia="Calibri" w:hAnsi="Times New Roman" w:cs="Times New Roman"/>
          <w:sz w:val="24"/>
          <w:szCs w:val="24"/>
        </w:rPr>
        <w:t xml:space="preserve"> на получение денежного поощрения лучшими учителя Нижегородской области </w:t>
      </w:r>
      <w:r w:rsidRPr="00157BC6">
        <w:rPr>
          <w:rFonts w:ascii="Times New Roman" w:eastAsia="Calibri" w:hAnsi="Times New Roman" w:cs="Times New Roman"/>
          <w:sz w:val="24"/>
          <w:szCs w:val="24"/>
        </w:rPr>
        <w:t>р</w:t>
      </w:r>
      <w:r w:rsidR="00CA0656" w:rsidRPr="00157BC6">
        <w:rPr>
          <w:rFonts w:ascii="Times New Roman" w:eastAsia="Calibri" w:hAnsi="Times New Roman" w:cs="Times New Roman"/>
          <w:sz w:val="24"/>
          <w:szCs w:val="24"/>
        </w:rPr>
        <w:t>ам</w:t>
      </w:r>
      <w:r w:rsidRPr="00157BC6">
        <w:rPr>
          <w:rFonts w:ascii="Times New Roman" w:eastAsia="Calibri" w:hAnsi="Times New Roman" w:cs="Times New Roman"/>
          <w:sz w:val="24"/>
          <w:szCs w:val="24"/>
        </w:rPr>
        <w:t>ках Приоритетного Национального Проекта «Образование»</w:t>
      </w: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BC6">
        <w:rPr>
          <w:rFonts w:ascii="Times New Roman" w:eastAsia="Calibri" w:hAnsi="Times New Roman" w:cs="Times New Roman"/>
          <w:sz w:val="24"/>
          <w:szCs w:val="24"/>
        </w:rPr>
        <w:t xml:space="preserve">приняли участие </w:t>
      </w:r>
      <w:r w:rsidRPr="0024105B">
        <w:rPr>
          <w:rFonts w:ascii="Times New Roman" w:eastAsia="Calibri" w:hAnsi="Times New Roman" w:cs="Times New Roman"/>
          <w:sz w:val="24"/>
          <w:szCs w:val="24"/>
        </w:rPr>
        <w:t>три учителя нашей ОО. Все они вошли в рейтинг претендентов на получение денежного поощрения. По итоговым результатам два учителя стали получателями регионального гранта. В планах - участие</w:t>
      </w: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только </w:t>
      </w:r>
      <w:r w:rsidR="00157BC6" w:rsidRPr="00157BC6">
        <w:rPr>
          <w:rFonts w:ascii="Times New Roman" w:eastAsia="Calibri" w:hAnsi="Times New Roman" w:cs="Times New Roman"/>
          <w:sz w:val="24"/>
          <w:szCs w:val="24"/>
        </w:rPr>
        <w:t>в конкурсе на получение денежного поощрения лучшими учителя Нижегородской области рамках Приоритетного Национального Проекта «Образование»</w:t>
      </w:r>
      <w:r w:rsidRPr="0024105B">
        <w:rPr>
          <w:rFonts w:ascii="Times New Roman" w:eastAsia="Calibri" w:hAnsi="Times New Roman" w:cs="Times New Roman"/>
          <w:sz w:val="24"/>
          <w:szCs w:val="24"/>
        </w:rPr>
        <w:t xml:space="preserve">, но и в </w:t>
      </w:r>
      <w:r w:rsidRPr="0024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общеобразовательных организаций Нижегородской области. </w:t>
      </w:r>
    </w:p>
    <w:p w:rsidR="00142A4D" w:rsidRPr="0024105B" w:rsidRDefault="00142A4D" w:rsidP="0024105B">
      <w:pPr>
        <w:pStyle w:val="a5"/>
        <w:spacing w:before="0" w:beforeAutospacing="0" w:after="0" w:afterAutospacing="0"/>
        <w:ind w:left="720"/>
        <w:jc w:val="both"/>
        <w:rPr>
          <w:rFonts w:eastAsia="Calibri"/>
        </w:rPr>
      </w:pPr>
    </w:p>
    <w:p w:rsidR="009D324A" w:rsidRPr="0024105B" w:rsidRDefault="009D324A" w:rsidP="00241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помните, тема моего выступления </w:t>
      </w:r>
      <w:r w:rsidRPr="00157BC6">
        <w:rPr>
          <w:rFonts w:ascii="Times New Roman" w:hAnsi="Times New Roman" w:cs="Times New Roman"/>
          <w:sz w:val="24"/>
          <w:szCs w:val="24"/>
          <w:shd w:val="clear" w:color="auto" w:fill="FFFFFF"/>
        </w:rPr>
        <w:t>«Открытость</w:t>
      </w:r>
      <w:r w:rsidR="00CA0656" w:rsidRPr="00157B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57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партнёрств</w:t>
      </w:r>
      <w:r w:rsidR="00CA0656" w:rsidRPr="00157BC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профессионализм как основные факторы повышения качества образования». </w:t>
      </w:r>
      <w:r w:rsidR="00066C96"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О качестве образования можно судить по нескольким факторам.</w:t>
      </w:r>
    </w:p>
    <w:p w:rsidR="00066C96" w:rsidRPr="0024105B" w:rsidRDefault="00066C96" w:rsidP="0024105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Успева</w:t>
      </w:r>
      <w:r w:rsidR="00717C3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мость и качество </w:t>
      </w:r>
      <w:proofErr w:type="spellStart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обученности</w:t>
      </w:r>
      <w:proofErr w:type="spellEnd"/>
      <w:r w:rsidRPr="0024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сравнении за несколько лет.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1"/>
        <w:gridCol w:w="1985"/>
        <w:gridCol w:w="1701"/>
        <w:gridCol w:w="1701"/>
      </w:tblGrid>
      <w:tr w:rsidR="0024105B" w:rsidRPr="0024105B" w:rsidTr="00546F7E">
        <w:trPr>
          <w:tblCellSpacing w:w="20" w:type="dxa"/>
        </w:trPr>
        <w:tc>
          <w:tcPr>
            <w:tcW w:w="2371" w:type="dxa"/>
            <w:shd w:val="clear" w:color="auto" w:fill="auto"/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auto"/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41" w:type="dxa"/>
            <w:tcBorders>
              <w:left w:val="outset" w:sz="6" w:space="0" w:color="auto"/>
            </w:tcBorders>
            <w:shd w:val="clear" w:color="auto" w:fill="auto"/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2017/2018 </w:t>
            </w:r>
          </w:p>
        </w:tc>
      </w:tr>
      <w:tr w:rsidR="0024105B" w:rsidRPr="0024105B" w:rsidTr="003619A3">
        <w:trPr>
          <w:tblCellSpacing w:w="20" w:type="dxa"/>
        </w:trPr>
        <w:tc>
          <w:tcPr>
            <w:tcW w:w="2371" w:type="dxa"/>
            <w:shd w:val="clear" w:color="auto" w:fill="auto"/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945" w:type="dxa"/>
            <w:shd w:val="clear" w:color="auto" w:fill="auto"/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1" w:type="dxa"/>
            <w:tcBorders>
              <w:left w:val="outset" w:sz="6" w:space="0" w:color="auto"/>
            </w:tcBorders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641" w:type="dxa"/>
            <w:tcBorders>
              <w:left w:val="outset" w:sz="6" w:space="0" w:color="auto"/>
            </w:tcBorders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4105B" w:rsidRPr="0024105B" w:rsidTr="003619A3">
        <w:trPr>
          <w:tblCellSpacing w:w="20" w:type="dxa"/>
        </w:trPr>
        <w:tc>
          <w:tcPr>
            <w:tcW w:w="2371" w:type="dxa"/>
            <w:shd w:val="clear" w:color="auto" w:fill="auto"/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945" w:type="dxa"/>
            <w:shd w:val="clear" w:color="auto" w:fill="auto"/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661" w:type="dxa"/>
            <w:tcBorders>
              <w:left w:val="outset" w:sz="6" w:space="0" w:color="auto"/>
            </w:tcBorders>
          </w:tcPr>
          <w:p w:rsidR="00066C96" w:rsidRPr="0024105B" w:rsidRDefault="00066C96" w:rsidP="00241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0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41" w:type="dxa"/>
            <w:tcBorders>
              <w:left w:val="outset" w:sz="6" w:space="0" w:color="auto"/>
            </w:tcBorders>
          </w:tcPr>
          <w:p w:rsidR="00066C96" w:rsidRPr="0024105B" w:rsidRDefault="00066C96" w:rsidP="0024105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C96" w:rsidRPr="0024105B" w:rsidRDefault="00066C96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hAnsi="Times New Roman" w:cs="Times New Roman"/>
          <w:sz w:val="24"/>
          <w:szCs w:val="24"/>
          <w:lang w:eastAsia="ru-RU"/>
        </w:rPr>
        <w:t xml:space="preserve">В 2017-2018 года школа получила результат качества выше, чем в предыдущие учебные годы. Успеваемость повысилась на 2,7% и составила 100%; Качество повысилось на 3,7 % и составило 50%; </w:t>
      </w:r>
      <w:r w:rsidRPr="0024105B">
        <w:rPr>
          <w:rFonts w:ascii="Times New Roman" w:hAnsi="Times New Roman" w:cs="Times New Roman"/>
          <w:sz w:val="24"/>
          <w:szCs w:val="24"/>
        </w:rPr>
        <w:t xml:space="preserve">Это немного, </w:t>
      </w:r>
      <w:proofErr w:type="gramStart"/>
      <w:r w:rsidRPr="0024105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4105B">
        <w:rPr>
          <w:rFonts w:ascii="Times New Roman" w:hAnsi="Times New Roman" w:cs="Times New Roman"/>
          <w:sz w:val="24"/>
          <w:szCs w:val="24"/>
        </w:rPr>
        <w:t xml:space="preserve"> тем не менее снижения нет.</w:t>
      </w:r>
    </w:p>
    <w:p w:rsidR="003619A3" w:rsidRPr="0024105B" w:rsidRDefault="003619A3" w:rsidP="0024105B">
      <w:pPr>
        <w:pStyle w:val="a3"/>
        <w:keepNext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успеваемости выпускников (итоговые отметки, полученные в аттестатах)</w:t>
      </w:r>
    </w:p>
    <w:tbl>
      <w:tblPr>
        <w:tblW w:w="7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842"/>
        <w:gridCol w:w="1701"/>
        <w:gridCol w:w="1701"/>
      </w:tblGrid>
      <w:tr w:rsidR="0024105B" w:rsidRPr="0024105B" w:rsidTr="00546F7E">
        <w:trPr>
          <w:trHeight w:val="29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24105B" w:rsidRPr="0024105B" w:rsidTr="003619A3">
        <w:trPr>
          <w:trHeight w:val="18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</w:tr>
      <w:tr w:rsidR="0024105B" w:rsidRPr="0024105B" w:rsidTr="003619A3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4105B" w:rsidRPr="0024105B" w:rsidTr="003619A3">
        <w:trPr>
          <w:trHeight w:val="14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 16,7%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чел./ 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чел./44,4</w:t>
            </w:r>
          </w:p>
        </w:tc>
      </w:tr>
      <w:tr w:rsidR="0024105B" w:rsidRPr="0024105B" w:rsidTr="003619A3">
        <w:trPr>
          <w:trHeight w:val="3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Аттестат особого образца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 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чел./33,3</w:t>
            </w:r>
          </w:p>
        </w:tc>
      </w:tr>
      <w:tr w:rsidR="0024105B" w:rsidRPr="0024105B" w:rsidTr="003619A3">
        <w:trPr>
          <w:trHeight w:val="3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грамотой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 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A3" w:rsidRPr="003619A3" w:rsidRDefault="003619A3" w:rsidP="0071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чел/33,3</w:t>
            </w:r>
          </w:p>
        </w:tc>
      </w:tr>
    </w:tbl>
    <w:p w:rsidR="00066C96" w:rsidRPr="0024105B" w:rsidRDefault="003619A3" w:rsidP="0024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>Мы видим, что все показатели улучшаются.</w:t>
      </w:r>
    </w:p>
    <w:p w:rsidR="003619A3" w:rsidRPr="0024105B" w:rsidRDefault="003360DF" w:rsidP="002410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 xml:space="preserve">Поступление выпускников в учебные заведения. </w:t>
      </w:r>
    </w:p>
    <w:p w:rsidR="003360DF" w:rsidRPr="0024105B" w:rsidRDefault="00BB5A7A" w:rsidP="0024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ГБПОУ "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Перевозский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колледж"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</w:t>
      </w:r>
      <w:proofErr w:type="spellEnd"/>
    </w:p>
    <w:p w:rsidR="00BB5A7A" w:rsidRPr="0024105B" w:rsidRDefault="00BB5A7A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ГБПОУ "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Перевозский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колледж"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Вадский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</w:t>
      </w:r>
    </w:p>
    <w:p w:rsidR="00BB5A7A" w:rsidRPr="0024105B" w:rsidRDefault="00BB5A7A" w:rsidP="0024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ГБПОУ «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коммерческо-технический техникум»</w:t>
      </w:r>
    </w:p>
    <w:p w:rsidR="00BB5A7A" w:rsidRPr="0024105B" w:rsidRDefault="00BB5A7A" w:rsidP="0024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ГБОУ СПО НО «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</w:t>
      </w:r>
    </w:p>
    <w:p w:rsidR="0072506A" w:rsidRPr="0024105B" w:rsidRDefault="0072506A" w:rsidP="0024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ГБПОУ НО НМК (Нижегородский медицинский колледж)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</w:t>
      </w:r>
    </w:p>
    <w:p w:rsidR="0072506A" w:rsidRPr="0024105B" w:rsidRDefault="0072506A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Речное училище 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им.И.П.Кулибина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(НРУ, НКРУ, ГКРУ)</w:t>
      </w:r>
    </w:p>
    <w:p w:rsidR="0072506A" w:rsidRPr="0024105B" w:rsidRDefault="0072506A" w:rsidP="0024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105B">
        <w:rPr>
          <w:rFonts w:ascii="Times New Roman" w:hAnsi="Times New Roman" w:cs="Times New Roman"/>
          <w:sz w:val="24"/>
          <w:szCs w:val="24"/>
        </w:rPr>
        <w:t xml:space="preserve"> </w:t>
      </w: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Карьерская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</w:p>
    <w:p w:rsidR="0072506A" w:rsidRPr="0024105B" w:rsidRDefault="0072506A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МАОУ «</w:t>
      </w:r>
      <w:proofErr w:type="spell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Вадская</w:t>
      </w:r>
      <w:proofErr w:type="spell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профильный класс (Впервые за несколько лет два ученика нашей школы прошли отбор в профильный класс)</w:t>
      </w:r>
      <w:r w:rsidR="00E7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506A" w:rsidRPr="0024105B" w:rsidRDefault="0072506A" w:rsidP="0024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ab/>
        <w:t>4. Анализ работы школы участниками образовательных отношений.</w:t>
      </w:r>
    </w:p>
    <w:p w:rsidR="0072506A" w:rsidRPr="0024105B" w:rsidRDefault="0072506A" w:rsidP="00241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hAnsi="Times New Roman" w:cs="Times New Roman"/>
          <w:sz w:val="24"/>
          <w:szCs w:val="24"/>
        </w:rPr>
        <w:t>Кроме мониторинга достижений</w:t>
      </w:r>
      <w:r w:rsidR="00910640" w:rsidRPr="0024105B">
        <w:rPr>
          <w:rFonts w:ascii="Times New Roman" w:hAnsi="Times New Roman" w:cs="Times New Roman"/>
          <w:sz w:val="24"/>
          <w:szCs w:val="24"/>
        </w:rPr>
        <w:t xml:space="preserve"> учеников и педагогических работников</w:t>
      </w:r>
      <w:r w:rsidRPr="0024105B">
        <w:rPr>
          <w:rFonts w:ascii="Times New Roman" w:hAnsi="Times New Roman" w:cs="Times New Roman"/>
          <w:sz w:val="24"/>
          <w:szCs w:val="24"/>
        </w:rPr>
        <w:t xml:space="preserve">, проводимого администрацией школы, ежегодно проводится </w:t>
      </w:r>
      <w:r w:rsidRPr="00E7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«Анкета выпускника»</w:t>
      </w:r>
      <w:r w:rsidRPr="0024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709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которого</w:t>
      </w:r>
      <w:r w:rsidRPr="0024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степени удовлетворенности выпускников результатами обучения и процессом воспитания </w:t>
      </w:r>
      <w:proofErr w:type="gramStart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ОО. Результаты рассматриваются и анализируются на педагогическом совете.</w:t>
      </w:r>
    </w:p>
    <w:p w:rsidR="00581113" w:rsidRPr="0024105B" w:rsidRDefault="0072506A" w:rsidP="0024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 проводится анкетирование родителей «Удовлетворённость родителей  работой ОУ»</w:t>
      </w:r>
      <w:r w:rsidR="00910640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 </w:t>
      </w:r>
      <w:proofErr w:type="gramStart"/>
      <w:r w:rsidR="00910640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="00910640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удовлетворённости родителей работой школы. </w:t>
      </w:r>
      <w:r w:rsidR="00581113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анкетирования рассматриваются все стороны учебного и воспитательного процесса, дополнительное образование учеников, отношения учитель-ученик, ученик-ученик. В конце анкетирования родителей просят поставить отметку школе. </w:t>
      </w:r>
      <w:r w:rsidR="00910640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рассматриваются и анализируются на педагогическом совете. </w:t>
      </w:r>
      <w:r w:rsidR="00581113" w:rsidRPr="0024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учебном году в анкетировании приняли участие 71 родитель, из них 45 родителей (64%) поставили школе отметку «5», 13 родителей отметку «4» (18%) , 13 родителей (18%) воздержались от ответа. Результат неплохой, но нам есть над чем работать. </w:t>
      </w:r>
    </w:p>
    <w:p w:rsidR="00910640" w:rsidRPr="0024105B" w:rsidRDefault="00F91DB1" w:rsidP="00241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 анкетирование педагогов по результатам работы за год и их вклада в работу ОО.</w:t>
      </w:r>
    </w:p>
    <w:p w:rsidR="00AE23C2" w:rsidRPr="00EB41FA" w:rsidRDefault="00581113" w:rsidP="0024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4105B">
        <w:rPr>
          <w:rFonts w:ascii="Times New Roman" w:hAnsi="Times New Roman" w:cs="Times New Roman"/>
          <w:sz w:val="24"/>
          <w:szCs w:val="24"/>
        </w:rPr>
        <w:tab/>
        <w:t>Исходя из представленных результатов работы</w:t>
      </w:r>
      <w:r w:rsidR="00CA0656">
        <w:rPr>
          <w:rFonts w:ascii="Times New Roman" w:hAnsi="Times New Roman" w:cs="Times New Roman"/>
          <w:sz w:val="24"/>
          <w:szCs w:val="24"/>
        </w:rPr>
        <w:t>,</w:t>
      </w:r>
      <w:r w:rsidRPr="0024105B">
        <w:rPr>
          <w:rFonts w:ascii="Times New Roman" w:hAnsi="Times New Roman" w:cs="Times New Roman"/>
          <w:sz w:val="24"/>
          <w:szCs w:val="24"/>
        </w:rPr>
        <w:t xml:space="preserve"> мы можем сделать вывод: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целенаправленная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деятельность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AE23C2" w:rsidRPr="002410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педагогического коллектива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по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созданию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организационно-педагогических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условий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в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рамках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социального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партнерства</w:t>
      </w:r>
      <w:proofErr w:type="spellEnd"/>
      <w:r w:rsidR="00AE23C2" w:rsidRPr="002410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 целенаправленная работа каждого педагога по повышению профессиональной компетентности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позволяет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эффективнее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решать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E7098A">
        <w:rPr>
          <w:rFonts w:ascii="Times New Roman" w:eastAsia="Times New Roman" w:hAnsi="Times New Roman" w:cs="Times New Roman"/>
          <w:sz w:val="24"/>
          <w:szCs w:val="24"/>
          <w:lang w:eastAsia="de-DE"/>
        </w:rPr>
        <w:t>задачу</w:t>
      </w:r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повышения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качества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образования</w:t>
      </w:r>
      <w:proofErr w:type="spellEnd"/>
      <w:r w:rsidR="00AE23C2" w:rsidRPr="002410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</w:t>
      </w:r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совершенствовани</w:t>
      </w:r>
      <w:proofErr w:type="spellEnd"/>
      <w:r w:rsidR="00E7098A">
        <w:rPr>
          <w:rFonts w:ascii="Times New Roman" w:eastAsia="Times New Roman" w:hAnsi="Times New Roman" w:cs="Times New Roman"/>
          <w:sz w:val="24"/>
          <w:szCs w:val="24"/>
          <w:lang w:eastAsia="de-DE"/>
        </w:rPr>
        <w:t>я</w:t>
      </w:r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содержания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технологии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и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материальной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базы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обучения</w:t>
      </w:r>
      <w:proofErr w:type="spellEnd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и </w:t>
      </w:r>
      <w:proofErr w:type="spellStart"/>
      <w:r w:rsidR="00AE23C2"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воспитания</w:t>
      </w:r>
      <w:proofErr w:type="spellEnd"/>
      <w:r w:rsidR="00AE23C2" w:rsidRPr="0024105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81113" w:rsidRPr="0024105B" w:rsidRDefault="00AE23C2" w:rsidP="0024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F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EB41F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A33718" w:rsidRPr="0024105B" w:rsidRDefault="00AE23C2" w:rsidP="0024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5B">
        <w:rPr>
          <w:rFonts w:ascii="Times New Roman" w:hAnsi="Times New Roman" w:cs="Times New Roman"/>
          <w:sz w:val="24"/>
          <w:szCs w:val="24"/>
        </w:rPr>
        <w:t xml:space="preserve">Закончить своё выступление хочу словами </w:t>
      </w:r>
      <w:r w:rsidR="00EB41FA" w:rsidRPr="0024105B">
        <w:rPr>
          <w:rFonts w:ascii="Times New Roman" w:hAnsi="Times New Roman" w:cs="Times New Roman"/>
          <w:sz w:val="24"/>
          <w:szCs w:val="24"/>
        </w:rPr>
        <w:t>русского педагога, основоположника научной педагогики в России, Константина Дмитриевича Ушинского: «В деле обучения и воспитания, во всем школьном деле ничего нельзя улучшить, минуя голову учителя. Учитель живет до тех пор, пока он учится. Как только он перестает учиться, в нем умирает учитель».</w:t>
      </w:r>
      <w:r w:rsidR="00E709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3718" w:rsidRPr="0024105B" w:rsidSect="00CA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279"/>
    <w:multiLevelType w:val="hybridMultilevel"/>
    <w:tmpl w:val="0F6CE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E30"/>
    <w:multiLevelType w:val="hybridMultilevel"/>
    <w:tmpl w:val="98B2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EF3"/>
    <w:multiLevelType w:val="multilevel"/>
    <w:tmpl w:val="5932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E32D4D"/>
    <w:multiLevelType w:val="hybridMultilevel"/>
    <w:tmpl w:val="937A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485"/>
    <w:multiLevelType w:val="hybridMultilevel"/>
    <w:tmpl w:val="E87C5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5251"/>
    <w:multiLevelType w:val="hybridMultilevel"/>
    <w:tmpl w:val="649E6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A167C"/>
    <w:multiLevelType w:val="hybridMultilevel"/>
    <w:tmpl w:val="EB8845D4"/>
    <w:lvl w:ilvl="0" w:tplc="E6E0B540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01BFD"/>
    <w:multiLevelType w:val="hybridMultilevel"/>
    <w:tmpl w:val="CE427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4A6E"/>
    <w:multiLevelType w:val="hybridMultilevel"/>
    <w:tmpl w:val="5EBA971E"/>
    <w:lvl w:ilvl="0" w:tplc="DCA6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87160"/>
    <w:multiLevelType w:val="hybridMultilevel"/>
    <w:tmpl w:val="80E8E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26BD7"/>
    <w:multiLevelType w:val="hybridMultilevel"/>
    <w:tmpl w:val="5F2C8EF4"/>
    <w:lvl w:ilvl="0" w:tplc="CA7EBE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07649E7"/>
    <w:multiLevelType w:val="hybridMultilevel"/>
    <w:tmpl w:val="391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45BB"/>
    <w:multiLevelType w:val="hybridMultilevel"/>
    <w:tmpl w:val="9DE84F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8CC37F4"/>
    <w:multiLevelType w:val="hybridMultilevel"/>
    <w:tmpl w:val="714CDEAA"/>
    <w:lvl w:ilvl="0" w:tplc="02F8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BC3E9C"/>
    <w:multiLevelType w:val="hybridMultilevel"/>
    <w:tmpl w:val="83E8FA3E"/>
    <w:lvl w:ilvl="0" w:tplc="195C2B0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D1AAA"/>
    <w:multiLevelType w:val="hybridMultilevel"/>
    <w:tmpl w:val="283625AE"/>
    <w:lvl w:ilvl="0" w:tplc="0BF29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700273"/>
    <w:multiLevelType w:val="multilevel"/>
    <w:tmpl w:val="56B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6"/>
  </w:num>
  <w:num w:numId="14">
    <w:abstractNumId w:val="13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D0B"/>
    <w:rsid w:val="00020BCB"/>
    <w:rsid w:val="00063D0B"/>
    <w:rsid w:val="00066C96"/>
    <w:rsid w:val="0007279C"/>
    <w:rsid w:val="00076F76"/>
    <w:rsid w:val="000A6772"/>
    <w:rsid w:val="000D5ECD"/>
    <w:rsid w:val="00122F3D"/>
    <w:rsid w:val="00123F34"/>
    <w:rsid w:val="00124258"/>
    <w:rsid w:val="00142A4D"/>
    <w:rsid w:val="00157BC6"/>
    <w:rsid w:val="00164F01"/>
    <w:rsid w:val="001B5901"/>
    <w:rsid w:val="001D04A8"/>
    <w:rsid w:val="00203049"/>
    <w:rsid w:val="00230BB4"/>
    <w:rsid w:val="0024105B"/>
    <w:rsid w:val="002418EF"/>
    <w:rsid w:val="00291F58"/>
    <w:rsid w:val="002B1624"/>
    <w:rsid w:val="002C741E"/>
    <w:rsid w:val="002F25DF"/>
    <w:rsid w:val="00323B18"/>
    <w:rsid w:val="003360DF"/>
    <w:rsid w:val="003424C5"/>
    <w:rsid w:val="003619A3"/>
    <w:rsid w:val="003672B6"/>
    <w:rsid w:val="00375A02"/>
    <w:rsid w:val="003B022E"/>
    <w:rsid w:val="003E2B0F"/>
    <w:rsid w:val="00412B93"/>
    <w:rsid w:val="004257C3"/>
    <w:rsid w:val="00473D9F"/>
    <w:rsid w:val="0048328D"/>
    <w:rsid w:val="004A66F4"/>
    <w:rsid w:val="00541159"/>
    <w:rsid w:val="00546F7E"/>
    <w:rsid w:val="00581113"/>
    <w:rsid w:val="005B5177"/>
    <w:rsid w:val="005C07C0"/>
    <w:rsid w:val="00605CDD"/>
    <w:rsid w:val="006238B0"/>
    <w:rsid w:val="0062548B"/>
    <w:rsid w:val="0067315E"/>
    <w:rsid w:val="006C6270"/>
    <w:rsid w:val="006D7874"/>
    <w:rsid w:val="00717C35"/>
    <w:rsid w:val="0072506A"/>
    <w:rsid w:val="007645D1"/>
    <w:rsid w:val="00776FC6"/>
    <w:rsid w:val="007A750F"/>
    <w:rsid w:val="007C3316"/>
    <w:rsid w:val="007E6E0C"/>
    <w:rsid w:val="007F16D2"/>
    <w:rsid w:val="00800266"/>
    <w:rsid w:val="00804B14"/>
    <w:rsid w:val="0082181C"/>
    <w:rsid w:val="00821D35"/>
    <w:rsid w:val="00880DFE"/>
    <w:rsid w:val="008F7860"/>
    <w:rsid w:val="00905BE4"/>
    <w:rsid w:val="00910640"/>
    <w:rsid w:val="009209DC"/>
    <w:rsid w:val="00921EE5"/>
    <w:rsid w:val="00970BF6"/>
    <w:rsid w:val="009B0E34"/>
    <w:rsid w:val="009B7E13"/>
    <w:rsid w:val="009D324A"/>
    <w:rsid w:val="009D474F"/>
    <w:rsid w:val="00A079C1"/>
    <w:rsid w:val="00A33718"/>
    <w:rsid w:val="00A80B9B"/>
    <w:rsid w:val="00A82253"/>
    <w:rsid w:val="00AE23C2"/>
    <w:rsid w:val="00B059DD"/>
    <w:rsid w:val="00B42194"/>
    <w:rsid w:val="00B66133"/>
    <w:rsid w:val="00B841BD"/>
    <w:rsid w:val="00B86284"/>
    <w:rsid w:val="00B94577"/>
    <w:rsid w:val="00BB5832"/>
    <w:rsid w:val="00BB5A7A"/>
    <w:rsid w:val="00BB71BB"/>
    <w:rsid w:val="00BC7A3F"/>
    <w:rsid w:val="00BF477E"/>
    <w:rsid w:val="00C04765"/>
    <w:rsid w:val="00C0652D"/>
    <w:rsid w:val="00C66056"/>
    <w:rsid w:val="00C709C1"/>
    <w:rsid w:val="00C92F3A"/>
    <w:rsid w:val="00CA0656"/>
    <w:rsid w:val="00CA3233"/>
    <w:rsid w:val="00CD0669"/>
    <w:rsid w:val="00D15E5C"/>
    <w:rsid w:val="00D24EDC"/>
    <w:rsid w:val="00D643B0"/>
    <w:rsid w:val="00D6672C"/>
    <w:rsid w:val="00DE5E13"/>
    <w:rsid w:val="00E24AC7"/>
    <w:rsid w:val="00E47294"/>
    <w:rsid w:val="00E523F4"/>
    <w:rsid w:val="00E70846"/>
    <w:rsid w:val="00E7098A"/>
    <w:rsid w:val="00EA650D"/>
    <w:rsid w:val="00EB41FA"/>
    <w:rsid w:val="00EB67F3"/>
    <w:rsid w:val="00ED79FE"/>
    <w:rsid w:val="00F91DB1"/>
    <w:rsid w:val="00FD1CEA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9"/>
  </w:style>
  <w:style w:type="paragraph" w:styleId="2">
    <w:name w:val="heading 2"/>
    <w:basedOn w:val="a"/>
    <w:link w:val="20"/>
    <w:uiPriority w:val="9"/>
    <w:qFormat/>
    <w:rsid w:val="00BF4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A75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225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7E"/>
  </w:style>
  <w:style w:type="paragraph" w:styleId="2">
    <w:name w:val="heading 2"/>
    <w:basedOn w:val="a"/>
    <w:link w:val="20"/>
    <w:uiPriority w:val="9"/>
    <w:qFormat/>
    <w:rsid w:val="00BF4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A75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225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Подгорная ЕА</cp:lastModifiedBy>
  <cp:revision>74</cp:revision>
  <dcterms:created xsi:type="dcterms:W3CDTF">2018-08-26T12:08:00Z</dcterms:created>
  <dcterms:modified xsi:type="dcterms:W3CDTF">2018-10-09T13:10:00Z</dcterms:modified>
</cp:coreProperties>
</file>