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4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>Технологическая карта образовательной деятельност</w:t>
      </w:r>
      <w:r>
        <w:rPr>
          <w:rFonts w:ascii="Times New Roman" w:hAnsi="Times New Roman"/>
          <w:b w:val="1"/>
          <w:i w:val="0"/>
          <w:color w:val="000000"/>
          <w:sz w:val="24"/>
        </w:rPr>
        <w:t>и</w:t>
      </w:r>
    </w:p>
    <w:p w14:paraId="0200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i w:val="0"/>
          <w:color w:val="000000"/>
          <w:sz w:val="24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по теме </w:t>
      </w:r>
      <w:r>
        <w:rPr>
          <w:rFonts w:ascii="Times New Roman" w:hAnsi="Times New Roman"/>
          <w:b w:val="1"/>
          <w:i w:val="0"/>
          <w:color w:val="000000"/>
          <w:sz w:val="24"/>
        </w:rPr>
        <w:t>«</w:t>
      </w:r>
      <w:r>
        <w:rPr>
          <w:rFonts w:ascii="Times New Roman" w:hAnsi="Times New Roman"/>
          <w:b w:val="1"/>
          <w:i w:val="0"/>
          <w:color w:val="000000"/>
          <w:sz w:val="24"/>
        </w:rPr>
        <w:t xml:space="preserve">Украсим наряд для </w:t>
      </w:r>
      <w:r>
        <w:rPr>
          <w:rFonts w:ascii="Times New Roman" w:hAnsi="Times New Roman"/>
          <w:b w:val="1"/>
          <w:i w:val="0"/>
          <w:color w:val="000000"/>
          <w:sz w:val="24"/>
        </w:rPr>
        <w:t>д</w:t>
      </w:r>
      <w:r>
        <w:rPr>
          <w:rFonts w:ascii="Times New Roman" w:hAnsi="Times New Roman"/>
          <w:b w:val="1"/>
          <w:i w:val="0"/>
          <w:color w:val="000000"/>
          <w:sz w:val="24"/>
        </w:rPr>
        <w:t>ымковск</w:t>
      </w:r>
      <w:r>
        <w:rPr>
          <w:rFonts w:ascii="Times New Roman" w:hAnsi="Times New Roman"/>
          <w:b w:val="1"/>
          <w:i w:val="0"/>
          <w:color w:val="000000"/>
          <w:sz w:val="24"/>
        </w:rPr>
        <w:t>ой</w:t>
      </w:r>
      <w:r>
        <w:rPr>
          <w:rFonts w:ascii="Times New Roman" w:hAnsi="Times New Roman"/>
          <w:b w:val="1"/>
          <w:i w:val="0"/>
          <w:color w:val="000000"/>
          <w:sz w:val="24"/>
        </w:rPr>
        <w:t xml:space="preserve"> игрушк</w:t>
      </w:r>
      <w:r>
        <w:rPr>
          <w:rFonts w:ascii="Times New Roman" w:hAnsi="Times New Roman"/>
          <w:b w:val="1"/>
          <w:i w:val="0"/>
          <w:color w:val="000000"/>
          <w:sz w:val="24"/>
        </w:rPr>
        <w:t>и</w:t>
      </w:r>
      <w:r>
        <w:rPr>
          <w:rFonts w:ascii="Times New Roman" w:hAnsi="Times New Roman"/>
          <w:b w:val="1"/>
          <w:i w:val="0"/>
          <w:color w:val="000000"/>
          <w:sz w:val="24"/>
        </w:rPr>
        <w:t xml:space="preserve"> - Барышн</w:t>
      </w:r>
      <w:r>
        <w:rPr>
          <w:rFonts w:ascii="Times New Roman" w:hAnsi="Times New Roman"/>
          <w:b w:val="1"/>
          <w:i w:val="0"/>
          <w:color w:val="000000"/>
          <w:sz w:val="24"/>
        </w:rPr>
        <w:t>и</w:t>
      </w:r>
      <w:r>
        <w:rPr>
          <w:rFonts w:ascii="Times New Roman" w:hAnsi="Times New Roman"/>
          <w:b w:val="1"/>
          <w:i w:val="0"/>
          <w:color w:val="000000"/>
          <w:sz w:val="24"/>
        </w:rPr>
        <w:t>»</w:t>
      </w:r>
    </w:p>
    <w:tbl>
      <w:tblPr>
        <w:tblStyle w:val="Style_1"/>
        <w:tblInd w:type="dxa" w:w="-714"/>
      </w:tblPr>
      <w:tblGrid>
        <w:gridCol w:w="1639"/>
        <w:gridCol w:w="1521"/>
        <w:gridCol w:w="7043"/>
        <w:gridCol w:w="1838"/>
        <w:gridCol w:w="1504"/>
        <w:gridCol w:w="1878"/>
      </w:tblGrid>
      <w:tr>
        <w:tc>
          <w:tcPr>
            <w:tcW w:type="dxa" w:w="3160"/>
            <w:gridSpan w:val="2"/>
          </w:tcPr>
          <w:p w14:paraId="03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Образовательная деятельность</w:t>
            </w:r>
          </w:p>
        </w:tc>
        <w:tc>
          <w:tcPr>
            <w:tcW w:type="dxa" w:w="12263"/>
            <w:gridSpan w:val="4"/>
          </w:tcPr>
          <w:p w14:paraId="04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Художественно-эстетическое развитие»</w:t>
            </w:r>
          </w:p>
        </w:tc>
      </w:tr>
      <w:tr>
        <w:tc>
          <w:tcPr>
            <w:tcW w:type="dxa" w:w="3160"/>
            <w:gridSpan w:val="2"/>
          </w:tcPr>
          <w:p w14:paraId="05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Возраст детей</w:t>
            </w:r>
          </w:p>
        </w:tc>
        <w:tc>
          <w:tcPr>
            <w:tcW w:type="dxa" w:w="12263"/>
            <w:gridSpan w:val="4"/>
          </w:tcPr>
          <w:p w14:paraId="06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4 -5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лет  (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средняя группа)</w:t>
            </w:r>
          </w:p>
        </w:tc>
      </w:tr>
      <w:tr>
        <w:tc>
          <w:tcPr>
            <w:tcW w:type="dxa" w:w="3160"/>
            <w:gridSpan w:val="2"/>
          </w:tcPr>
          <w:p w14:paraId="07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Тема НОД</w:t>
            </w:r>
          </w:p>
        </w:tc>
        <w:tc>
          <w:tcPr>
            <w:tcW w:type="dxa" w:w="12263"/>
            <w:gridSpan w:val="4"/>
          </w:tcPr>
          <w:p w14:paraId="08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Украсим наряд для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ымковск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ой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игрушк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- Барышн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»</w:t>
            </w:r>
          </w:p>
        </w:tc>
      </w:tr>
      <w:tr>
        <w:tc>
          <w:tcPr>
            <w:tcW w:type="dxa" w:w="3160"/>
            <w:gridSpan w:val="2"/>
          </w:tcPr>
          <w:p w14:paraId="09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Цель</w:t>
            </w:r>
          </w:p>
        </w:tc>
        <w:tc>
          <w:tcPr>
            <w:tcW w:type="dxa" w:w="12263"/>
            <w:gridSpan w:val="4"/>
          </w:tcPr>
          <w:p w14:paraId="0A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создание социальной ситуации развития в процессе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удожественно – творческ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ой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деятельности</w:t>
            </w:r>
          </w:p>
        </w:tc>
      </w:tr>
      <w:tr>
        <w:trPr>
          <w:trHeight w:hRule="atLeast" w:val="770"/>
        </w:trPr>
        <w:tc>
          <w:tcPr>
            <w:tcW w:type="dxa" w:w="3160"/>
            <w:gridSpan w:val="2"/>
          </w:tcPr>
          <w:p w14:paraId="0B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Задачи</w:t>
            </w:r>
          </w:p>
        </w:tc>
        <w:tc>
          <w:tcPr>
            <w:tcW w:type="dxa" w:w="12263"/>
            <w:gridSpan w:val="4"/>
          </w:tcPr>
          <w:p w14:paraId="0C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способствовать взаимодействию детей в парах: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развивать умение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договариваться, планировать с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вою деятельность;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</w:p>
          <w:p w14:paraId="0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способствовать проявлению самостоятельности и инициативы у детей: в подборе оборудования и материала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для деятельно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сти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;</w:t>
            </w:r>
          </w:p>
          <w:p w14:paraId="0E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создать условия для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свободного выбора детьми участников совместной деятельности;</w:t>
            </w:r>
          </w:p>
          <w:p w14:paraId="0F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способствовать развитию познавательной активности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устанавливать причинно-следственные связи;</w:t>
            </w:r>
          </w:p>
          <w:p w14:paraId="1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расширя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ть представления детей о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народно-прикладн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м искусств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- дымковской игрушк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;</w:t>
            </w:r>
          </w:p>
          <w:p w14:paraId="11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уточнить представления детей о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разных изображени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ях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дымковских Барышень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, орнамента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на юбках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дымковских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Барышень;</w:t>
            </w:r>
          </w:p>
          <w:p w14:paraId="12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развивать умения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сравнивать и описывать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их;</w:t>
            </w:r>
          </w:p>
          <w:p w14:paraId="13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развивать умения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определ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ять характер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музыки и соотн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осить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ее с изображениями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;</w:t>
            </w:r>
          </w:p>
          <w:p w14:paraId="14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развивать умения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украшать силуэты дымковской Барышни узором.</w:t>
            </w:r>
          </w:p>
          <w:p w14:paraId="15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развивать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опыт самостоятельного преодоления затруднения под руководством воспитателя на основе рефлексивного метода, закрепить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опыт выбора способа преодоления затруднения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;</w:t>
            </w:r>
          </w:p>
          <w:p w14:paraId="16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развивать мыслительные операции, речевую активность, любознательность;</w:t>
            </w:r>
          </w:p>
          <w:p w14:paraId="17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создать условия для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воспитания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чувства прекрасного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уважительного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и бережного 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отношения к культуре и истории своей Родины</w:t>
            </w:r>
          </w:p>
        </w:tc>
      </w:tr>
      <w:tr>
        <w:tc>
          <w:tcPr>
            <w:tcW w:type="dxa" w:w="3160"/>
            <w:gridSpan w:val="2"/>
          </w:tcPr>
          <w:p w14:paraId="18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Материалы</w:t>
            </w:r>
          </w:p>
        </w:tc>
        <w:tc>
          <w:tcPr>
            <w:tcW w:type="dxa" w:w="12263"/>
            <w:gridSpan w:val="4"/>
          </w:tcPr>
          <w:p w14:paraId="19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Барышни большой, разные силуэты дымковских Барышень, элементы дымковской росписи для среднего возраста, фрагменты музыкальных произведений: русская народная плясовая, русская народная песня «Субботея», гуашевые краски, кисти, салфетки, стаканы с водой</w:t>
            </w:r>
          </w:p>
        </w:tc>
      </w:tr>
      <w:tr>
        <w:tc>
          <w:tcPr>
            <w:tcW w:type="dxa" w:w="3160"/>
            <w:gridSpan w:val="2"/>
          </w:tcPr>
          <w:p w14:paraId="1A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Предполагаемый результат</w:t>
            </w:r>
          </w:p>
        </w:tc>
        <w:tc>
          <w:tcPr>
            <w:tcW w:type="dxa" w:w="12263"/>
            <w:gridSpan w:val="4"/>
          </w:tcPr>
          <w:p w14:paraId="1B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уточнить и закр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епить представления детей средн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его возраста о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дымковской игрушке - Барышне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.</w:t>
            </w:r>
          </w:p>
        </w:tc>
      </w:tr>
      <w:tr>
        <w:trPr>
          <w:trHeight w:hRule="atLeast" w:val="838"/>
        </w:trPr>
        <w:tc>
          <w:tcPr>
            <w:tcW w:type="dxa" w:w="1639"/>
          </w:tcPr>
          <w:p w14:paraId="1C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Этапы технологии «Ситуация»</w:t>
            </w:r>
          </w:p>
        </w:tc>
        <w:tc>
          <w:tcPr>
            <w:tcW w:type="dxa" w:w="1521"/>
          </w:tcPr>
          <w:p w14:paraId="1D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Этапные</w:t>
            </w:r>
          </w:p>
          <w:p w14:paraId="1E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задачи</w:t>
            </w:r>
          </w:p>
        </w:tc>
        <w:tc>
          <w:tcPr>
            <w:tcW w:type="dxa" w:w="7043"/>
          </w:tcPr>
          <w:p w14:paraId="1F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Деятельность педагога</w:t>
            </w:r>
          </w:p>
        </w:tc>
        <w:tc>
          <w:tcPr>
            <w:tcW w:type="dxa" w:w="1838"/>
          </w:tcPr>
          <w:p w14:paraId="20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Осуществляемая деятельность воспитанника</w:t>
            </w:r>
          </w:p>
        </w:tc>
        <w:tc>
          <w:tcPr>
            <w:tcW w:type="dxa" w:w="1504"/>
          </w:tcPr>
          <w:p w14:paraId="21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Предпосылки учебной деятельности</w:t>
            </w:r>
          </w:p>
        </w:tc>
        <w:tc>
          <w:tcPr>
            <w:tcW w:type="dxa" w:w="1878"/>
          </w:tcPr>
          <w:p w14:paraId="22000000">
            <w:pPr>
              <w:spacing w:after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Контроль результатов деятельности</w:t>
            </w:r>
          </w:p>
        </w:tc>
      </w:tr>
      <w:tr>
        <w:trPr>
          <w:trHeight w:hRule="atLeast" w:val="841"/>
        </w:trPr>
        <w:tc>
          <w:tcPr>
            <w:tcW w:type="dxa" w:w="1639"/>
          </w:tcPr>
          <w:p w14:paraId="23000000">
            <w:pPr>
              <w:numPr>
                <w:ilvl w:val="0"/>
                <w:numId w:val="1"/>
              </w:num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Введение</w:t>
            </w:r>
          </w:p>
          <w:p w14:paraId="24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 игровую </w:t>
            </w:r>
          </w:p>
          <w:p w14:paraId="25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ситуацию</w:t>
            </w:r>
          </w:p>
        </w:tc>
        <w:tc>
          <w:tcPr>
            <w:tcW w:type="dxa" w:w="1521"/>
          </w:tcPr>
          <w:p w14:paraId="26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мотивировать детей на включение в деятельность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создать условия для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выражения детьми своих мыслей</w:t>
            </w:r>
          </w:p>
        </w:tc>
        <w:tc>
          <w:tcPr>
            <w:tcW w:type="dxa" w:w="7043"/>
          </w:tcPr>
          <w:p w14:paraId="2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Ребята, вы любите наряжаться?</w:t>
            </w:r>
          </w:p>
          <w:p w14:paraId="2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Какой ваш любимый наряд?</w:t>
            </w:r>
          </w:p>
          <w:p w14:paraId="2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Как вы думаете, хорошо быть нарядным?</w:t>
            </w:r>
          </w:p>
          <w:p w14:paraId="2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Сегодня у нас гостья. Как вы думаете, кто она?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(Силуэт дымковской игрушки Барышни)</w:t>
            </w:r>
          </w:p>
          <w:p w14:paraId="2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Барышня тоже хочет быть нарядной и просит ей помочь.</w:t>
            </w:r>
          </w:p>
          <w:p w14:paraId="2C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Хотите ей помочь нарядиться? Сможете?</w:t>
            </w:r>
          </w:p>
          <w:p w14:paraId="2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838"/>
          </w:tcPr>
          <w:p w14:paraId="2E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Дети собираются возле педагога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, отвечают на поставленные вопросы.</w:t>
            </w:r>
          </w:p>
        </w:tc>
        <w:tc>
          <w:tcPr>
            <w:tcW w:type="dxa" w:w="1504"/>
          </w:tcPr>
          <w:p w14:paraId="2F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Настрой на предстоящую деятельность.</w:t>
            </w:r>
          </w:p>
        </w:tc>
        <w:tc>
          <w:tcPr>
            <w:tcW w:type="dxa" w:w="1878"/>
          </w:tcPr>
          <w:p w14:paraId="3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Приветствие, включение в диалог.</w:t>
            </w:r>
          </w:p>
        </w:tc>
      </w:tr>
      <w:tr>
        <w:trPr>
          <w:trHeight w:hRule="atLeast" w:val="1188"/>
        </w:trPr>
        <w:tc>
          <w:tcPr>
            <w:tcW w:type="dxa" w:w="1639"/>
          </w:tcPr>
          <w:p w14:paraId="31000000">
            <w:pPr>
              <w:numPr>
                <w:ilvl w:val="0"/>
                <w:numId w:val="1"/>
              </w:num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Актуализация знаний</w:t>
            </w:r>
          </w:p>
        </w:tc>
        <w:tc>
          <w:tcPr>
            <w:tcW w:type="dxa" w:w="1521"/>
          </w:tcPr>
          <w:p w14:paraId="32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актуал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изировать представления детей о способах украшения одежды разными узорами</w:t>
            </w:r>
          </w:p>
          <w:p w14:paraId="33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34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7043"/>
          </w:tcPr>
          <w:p w14:paraId="3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Чтобы ей помочь, вспомним, какие бывают узоры на одежде.</w:t>
            </w:r>
          </w:p>
          <w:p w14:paraId="3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Нашей Барышне подойдет любой узор (орнамент)?</w:t>
            </w:r>
          </w:p>
          <w:p w14:paraId="3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Наша Барышня не просто игрушка. Хотите узнать, откуда она?</w:t>
            </w:r>
          </w:p>
          <w:p w14:paraId="38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История</w:t>
            </w:r>
          </w:p>
          <w:p w14:paraId="3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Дымковская игрушка - один из русских народных глиняных художественных промыслов. Возник в заречной слободе Дымково близ г. Вятка (ныне на территории г. Кирова).</w:t>
            </w:r>
          </w:p>
          <w:p w14:paraId="3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Такой игрушки как дымковская больше нет, она одна такая. Яркая, нарядная дымковская</w:t>
            </w:r>
          </w:p>
          <w:p w14:paraId="3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игрушка стала своеобразным символом Вятской земли. Чаще всего используются такие сюжеты как няньки с детьми, водоноски, бараны с золотыми рогами, индюшки, петухи, олени и, конечно, молодые люди, скоморохи, барыни.</w:t>
            </w:r>
          </w:p>
          <w:p w14:paraId="3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Вы сможете украсить наряд Барышни дымковским узором?</w:t>
            </w:r>
          </w:p>
          <w:p w14:paraId="3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Почему нет?</w:t>
            </w:r>
          </w:p>
        </w:tc>
        <w:tc>
          <w:tcPr>
            <w:tcW w:type="dxa" w:w="1838"/>
          </w:tcPr>
          <w:p w14:paraId="3E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Дети отвечают на поставленные вопросы. Активизация словарного запаса.</w:t>
            </w:r>
          </w:p>
        </w:tc>
        <w:tc>
          <w:tcPr>
            <w:tcW w:type="dxa" w:w="1504"/>
          </w:tcPr>
          <w:p w14:paraId="3F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Умение удерживать учебную цель.</w:t>
            </w:r>
          </w:p>
        </w:tc>
        <w:tc>
          <w:tcPr>
            <w:tcW w:type="dxa" w:w="1878"/>
          </w:tcPr>
          <w:p w14:paraId="4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Ответы детей.</w:t>
            </w:r>
          </w:p>
        </w:tc>
      </w:tr>
      <w:tr>
        <w:trPr>
          <w:trHeight w:hRule="atLeast" w:val="899"/>
          <w:hidden w:val="0"/>
        </w:trPr>
        <w:tc>
          <w:tcPr>
            <w:tcW w:type="dxa" w:w="1639"/>
          </w:tcPr>
          <w:p w14:paraId="41000000">
            <w:pPr>
              <w:numPr>
                <w:ilvl w:val="0"/>
                <w:numId w:val="1"/>
              </w:num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Затруднение в ситуации</w:t>
            </w:r>
          </w:p>
        </w:tc>
        <w:tc>
          <w:tcPr>
            <w:tcW w:type="dxa" w:w="1521"/>
          </w:tcPr>
          <w:p w14:paraId="42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Фиксация затруднения, понимание его причины.</w:t>
            </w:r>
          </w:p>
        </w:tc>
        <w:tc>
          <w:tcPr>
            <w:tcW w:type="dxa" w:w="7043"/>
          </w:tcPr>
          <w:p w14:paraId="4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Вы знаете, каким узором украшают дымковские игрушки?</w:t>
            </w:r>
          </w:p>
          <w:p w14:paraId="4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нужно знать для того, чтобы украсить наряд Барышни дымковским узором? (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Какой бывает дымковский узор?) </w:t>
            </w:r>
          </w:p>
          <w:p w14:paraId="4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У кого можно спросить? (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Спросить у того, кто знает).</w:t>
            </w:r>
          </w:p>
          <w:p w14:paraId="4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Давайте позвоним мастеру по росписи дымковской игрушки.</w:t>
            </w:r>
          </w:p>
          <w:p w14:paraId="4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мы у него спросим? (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Какие узоры можно рисовать на наряде Барышни?)</w:t>
            </w:r>
          </w:p>
          <w:p w14:paraId="4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Звонок мастеру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 вопросом детей</w:t>
            </w:r>
          </w:p>
          <w:p w14:paraId="4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Ребята, мастер сказал, что пришлет нам сейчас образцы дымковских узоров.</w:t>
            </w:r>
          </w:p>
        </w:tc>
        <w:tc>
          <w:tcPr>
            <w:tcW w:type="dxa" w:w="1838"/>
          </w:tcPr>
          <w:p w14:paraId="4A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Умение фиксировать затруднение (дети затрудняются)</w:t>
            </w:r>
          </w:p>
        </w:tc>
        <w:tc>
          <w:tcPr>
            <w:tcW w:type="dxa" w:w="1504"/>
          </w:tcPr>
          <w:p w14:paraId="4B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Умение удерживать учебную цель</w:t>
            </w:r>
          </w:p>
        </w:tc>
        <w:tc>
          <w:tcPr>
            <w:tcW w:type="dxa" w:w="1878"/>
          </w:tcPr>
          <w:p w14:paraId="4C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Ответы детей.</w:t>
            </w:r>
          </w:p>
        </w:tc>
      </w:tr>
      <w:tr>
        <w:trPr>
          <w:trHeight w:hRule="atLeast" w:val="277"/>
        </w:trPr>
        <w:tc>
          <w:tcPr>
            <w:tcW w:type="dxa" w:w="1639"/>
          </w:tcPr>
          <w:p w14:paraId="4D000000">
            <w:pPr>
              <w:numPr>
                <w:ilvl w:val="0"/>
                <w:numId w:val="1"/>
              </w:num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Открытие нового знания или способа действия</w:t>
            </w:r>
          </w:p>
        </w:tc>
        <w:tc>
          <w:tcPr>
            <w:tcW w:type="dxa" w:w="1521"/>
          </w:tcPr>
          <w:p w14:paraId="4E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способствовать развитию представления о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разных изображениях дымковских Барышень, орнамента на юбках дымковских Барышень</w:t>
            </w:r>
          </w:p>
        </w:tc>
        <w:tc>
          <w:tcPr>
            <w:tcW w:type="dxa" w:w="7043"/>
          </w:tcPr>
          <w:p w14:paraId="4F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На мольбертах выставлены образцы изображений дымковских барышень или дымковских игрушек барышень</w:t>
            </w:r>
          </w:p>
          <w:p w14:paraId="5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Ребята, давайте разделимся на пары, познакомимся с дымковскими Барышнями и рассмотрим узоры у них на юбках.</w:t>
            </w:r>
          </w:p>
          <w:p w14:paraId="5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Дети делятся на пары, самостоятельно рассматривают игрушки и изображения, обсуждают в паре сообщение. </w:t>
            </w:r>
          </w:p>
          <w:p w14:paraId="5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Дети собираются в круг, рассказывают и показывают руками элементы узоров</w:t>
            </w:r>
          </w:p>
          <w:p w14:paraId="5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Ребята, вы рассмотрели игрушки?</w:t>
            </w:r>
          </w:p>
          <w:p w14:paraId="5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Подходите ко мне в круг. Давайте, расскажем и покажем, какие элементы узоров вы увидели.</w:t>
            </w:r>
          </w:p>
          <w:p w14:paraId="5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о ходу выступлений детей, поясняю высказывания детей комментариями</w:t>
            </w:r>
          </w:p>
          <w:p w14:paraId="5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Какие цвета используют мастера для росписи?</w:t>
            </w:r>
          </w:p>
          <w:p w14:paraId="5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В: - Как вы думаете, что означали элементы, которые вы увидели на картинках и игрушках? </w:t>
            </w:r>
          </w:p>
          <w:p w14:paraId="5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Ребята как вы думаете что, по вашему мнению, мог означать круг?</w:t>
            </w:r>
          </w:p>
          <w:p w14:paraId="5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могла означать волнистая или ломаная линия?</w:t>
            </w:r>
          </w:p>
          <w:p w14:paraId="5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же могла означать клетка?</w:t>
            </w:r>
          </w:p>
          <w:p w14:paraId="5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Каждое изображение, используемое в дымке это передача природы окружающая человека. У дымковской игрушки есть свои цвета,  есть свой орнамент своя форма, которая придает игрушке индивидуальность, что делает ее не похожей на другие игрушки</w:t>
            </w:r>
          </w:p>
        </w:tc>
        <w:tc>
          <w:tcPr>
            <w:tcW w:type="dxa" w:w="1838"/>
          </w:tcPr>
          <w:p w14:paraId="5C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Мыслител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ьные операции.</w:t>
            </w:r>
          </w:p>
        </w:tc>
        <w:tc>
          <w:tcPr>
            <w:tcW w:type="dxa" w:w="1504"/>
          </w:tcPr>
          <w:p w14:paraId="5D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Умение оценивать свои действия.</w:t>
            </w:r>
          </w:p>
        </w:tc>
        <w:tc>
          <w:tcPr>
            <w:tcW w:type="dxa" w:w="1878"/>
          </w:tcPr>
          <w:p w14:paraId="5E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Ответы действия детей.</w:t>
            </w:r>
          </w:p>
        </w:tc>
      </w:tr>
      <w:tr>
        <w:trPr>
          <w:trHeight w:hRule="atLeast" w:val="1437"/>
        </w:trPr>
        <w:tc>
          <w:tcPr>
            <w:tcW w:type="dxa" w:w="1639"/>
          </w:tcPr>
          <w:p w14:paraId="5F000000">
            <w:pPr>
              <w:numPr>
                <w:ilvl w:val="0"/>
                <w:numId w:val="1"/>
              </w:num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Введение новых знаний в систему знаний</w:t>
            </w:r>
          </w:p>
        </w:tc>
        <w:tc>
          <w:tcPr>
            <w:tcW w:type="dxa" w:w="1521"/>
          </w:tcPr>
          <w:p w14:paraId="6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способствовать развитию умений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самостоятельно украшать силуэты Барышень</w:t>
            </w:r>
          </w:p>
        </w:tc>
        <w:tc>
          <w:tcPr>
            <w:tcW w:type="dxa" w:w="7043"/>
          </w:tcPr>
          <w:p w14:paraId="61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1.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Самостоятельная деятельность детей</w:t>
            </w:r>
          </w:p>
          <w:p w14:paraId="62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На доске (мольберте) висит плакат с элементами дымковской росписи.</w:t>
            </w:r>
          </w:p>
          <w:p w14:paraId="6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Ребята, вы выбрали элементы узора для наряда Барышни?</w:t>
            </w:r>
          </w:p>
          <w:p w14:paraId="6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Сможете теперь украсить наряд Барышни?</w:t>
            </w:r>
          </w:p>
          <w:p w14:paraId="65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На столах для каждого ребенка силуэт дымковской барышни (разные), гуашевые краски, кисти, салфетки, стаканы с водой</w:t>
            </w:r>
          </w:p>
          <w:p w14:paraId="6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Ребята, посмотрите, к нам еще Барышни пришли в гости.</w:t>
            </w:r>
          </w:p>
          <w:p w14:paraId="6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Они одинаковые?</w:t>
            </w:r>
          </w:p>
          <w:p w14:paraId="6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Сможем теперь украсить наряд Барышням?</w:t>
            </w:r>
          </w:p>
          <w:p w14:paraId="6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2. Слушание музыкальных композиций «Русская плясовая»,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«Субботея»</w:t>
            </w:r>
          </w:p>
          <w:p w14:paraId="6A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Ребята, посмотрите, получилось ли у нас украсить наряд Барышень?</w:t>
            </w:r>
          </w:p>
          <w:p w14:paraId="6B000000">
            <w:p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Хотите с Барышнями в веселый хоровод? </w:t>
            </w:r>
          </w:p>
          <w:p w14:paraId="6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Мы попали на ярмарку и название у нее озорное и шутливое «Свистунья». А проходит она в селе Дымково:</w:t>
            </w:r>
          </w:p>
          <w:p w14:paraId="6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Дым идет из труб столбом, </w:t>
            </w:r>
          </w:p>
          <w:p w14:paraId="6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Точно в дымке все кругом. </w:t>
            </w:r>
          </w:p>
          <w:p w14:paraId="6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Голубые дали, и село большое</w:t>
            </w:r>
          </w:p>
          <w:p w14:paraId="7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«Дымково» назвали. </w:t>
            </w:r>
          </w:p>
          <w:p w14:paraId="71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Здесь любят песни, пляски. </w:t>
            </w:r>
          </w:p>
          <w:p w14:paraId="72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Рождаются чудо - сказки. </w:t>
            </w:r>
          </w:p>
          <w:p w14:paraId="73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Вечера зимой длинны</w:t>
            </w:r>
          </w:p>
          <w:p w14:paraId="74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И лепят здесь из глины. </w:t>
            </w:r>
          </w:p>
          <w:p w14:paraId="75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Все игрушки не простые, </w:t>
            </w:r>
          </w:p>
          <w:p w14:paraId="76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А волшебно расписные. </w:t>
            </w:r>
          </w:p>
          <w:p w14:paraId="77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Белоснежны, как березки, </w:t>
            </w:r>
          </w:p>
          <w:p w14:paraId="7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кружочки, клеточки, полоски -</w:t>
            </w:r>
          </w:p>
          <w:p w14:paraId="7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простой, казалось бы узор. </w:t>
            </w:r>
          </w:p>
          <w:p w14:paraId="7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Но отвести не в силах взор.</w:t>
            </w:r>
          </w:p>
          <w:p w14:paraId="7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Что мы сейчас делали с Барышнями?</w:t>
            </w:r>
          </w:p>
          <w:p w14:paraId="7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В: - Под какую музыку танцевали?</w:t>
            </w:r>
          </w:p>
          <w:p w14:paraId="7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Какая она? </w:t>
            </w:r>
          </w:p>
          <w:p w14:paraId="7E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Д: - Веселая, танцевальная, подвижная, красивая</w:t>
            </w:r>
          </w:p>
          <w:p w14:paraId="7F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В: -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Какое настроение?</w:t>
            </w:r>
          </w:p>
          <w:p w14:paraId="80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Чем понравил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сь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 музыка?</w:t>
            </w:r>
          </w:p>
        </w:tc>
        <w:tc>
          <w:tcPr>
            <w:tcW w:type="dxa" w:w="1838"/>
          </w:tcPr>
          <w:p w14:paraId="81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Применение нового знания в процессе деятельности.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Дети рассматривают элементы росписи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, рисуют узоры дымковской игрушки (узоры на фартук, юбку, кокошник и т.д.)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.</w:t>
            </w:r>
          </w:p>
          <w:p w14:paraId="82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3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4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5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6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7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8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9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A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B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C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D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E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F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9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91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92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(Дети характеризуют музыкальные произведения)</w:t>
            </w:r>
          </w:p>
        </w:tc>
        <w:tc>
          <w:tcPr>
            <w:tcW w:type="dxa" w:w="1504"/>
          </w:tcPr>
          <w:p w14:paraId="93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Использование </w:t>
            </w:r>
          </w:p>
          <w:p w14:paraId="94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Полученных знаний.</w:t>
            </w:r>
          </w:p>
        </w:tc>
        <w:tc>
          <w:tcPr>
            <w:tcW w:type="dxa" w:w="1878"/>
          </w:tcPr>
          <w:p w14:paraId="95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Выпол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>нение действия</w:t>
            </w:r>
          </w:p>
        </w:tc>
      </w:tr>
      <w:tr>
        <w:trPr>
          <w:trHeight w:hRule="atLeast" w:val="2463"/>
          <w:hidden w:val="0"/>
        </w:trPr>
        <w:tc>
          <w:tcPr>
            <w:tcW w:type="dxa" w:w="1639"/>
          </w:tcPr>
          <w:p w14:paraId="96000000">
            <w:pPr>
              <w:numPr>
                <w:ilvl w:val="0"/>
                <w:numId w:val="1"/>
              </w:numPr>
              <w:spacing w:after="0" w:line="240" w:lineRule="auto"/>
              <w:ind w:firstLine="0" w:left="0" w:right="0"/>
              <w:contextualSpacing w:val="1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Осмысление (итог)</w:t>
            </w:r>
          </w:p>
        </w:tc>
        <w:tc>
          <w:tcPr>
            <w:tcW w:type="dxa" w:w="1521"/>
          </w:tcPr>
          <w:p w14:paraId="97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Провести рефлексию деятельности на занятии, создать ситуацию успеха. Фиксирование детьми достижения «детской цели»</w:t>
            </w:r>
          </w:p>
        </w:tc>
        <w:tc>
          <w:tcPr>
            <w:tcW w:type="dxa" w:w="7043"/>
          </w:tcPr>
          <w:p w14:paraId="98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В: 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Где побывали? </w:t>
            </w:r>
          </w:p>
          <w:p w14:paraId="99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- С кем сегодня познакомились? </w:t>
            </w:r>
          </w:p>
          <w:p w14:paraId="9A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делали?</w:t>
            </w:r>
          </w:p>
          <w:p w14:paraId="9B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понравилось?</w:t>
            </w:r>
          </w:p>
          <w:p w14:paraId="9C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было сложным?</w:t>
            </w:r>
          </w:p>
          <w:p w14:paraId="9D000000">
            <w:pPr>
              <w:spacing w:after="0" w:before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Что помогло справиться?</w:t>
            </w:r>
          </w:p>
          <w:p w14:paraId="9E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- Молодцы, ребята, мы с вами смогли украсить наряды Барышень, потому что узнали, как расписывают дымковских Барышень</w:t>
            </w:r>
          </w:p>
          <w:p w14:paraId="9F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838"/>
          </w:tcPr>
          <w:p w14:paraId="A0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Ответы на вопросы.</w:t>
            </w:r>
          </w:p>
        </w:tc>
        <w:tc>
          <w:tcPr>
            <w:tcW w:type="dxa" w:w="1504"/>
          </w:tcPr>
          <w:p w14:paraId="A1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Умение оценивать свои действия.</w:t>
            </w:r>
          </w:p>
        </w:tc>
        <w:tc>
          <w:tcPr>
            <w:tcW w:type="dxa" w:w="1878"/>
          </w:tcPr>
          <w:p w14:paraId="A2000000">
            <w:pPr>
              <w:spacing w:after="0" w:line="240" w:lineRule="auto"/>
              <w:ind w:firstLine="0" w:left="0" w:right="0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Анализ индивидуальных достижений, фиксация результата.</w:t>
            </w:r>
          </w:p>
        </w:tc>
      </w:tr>
    </w:tbl>
    <w:p w14:paraId="A3000000">
      <w:pPr>
        <w:spacing w:after="0" w:line="240" w:lineRule="auto"/>
        <w:ind w:firstLine="0" w:left="0" w:right="0"/>
        <w:rPr>
          <w:rFonts w:ascii="Times New Roman" w:hAnsi="Times New Roman"/>
          <w:i w:val="0"/>
          <w:color w:val="000000"/>
          <w:sz w:val="24"/>
        </w:rPr>
      </w:pPr>
    </w:p>
    <w:sectPr>
      <w:pgSz w:h="11906" w:w="16838"/>
      <w:pgMar w:bottom="567" w:footer="708" w:gutter="0" w:header="708" w:left="1701" w:right="39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upperRoman"/>
      <w:lvlText w:val="%1."/>
      <w:pPr>
        <w:ind w:hanging="360" w:left="360"/>
      </w:pPr>
      <w:rPr>
        <w:sz w:val="22"/>
      </w:rPr>
    </w:lvl>
    <w:lvl w:ilvl="1">
      <w:start w:val="1"/>
      <w:numFmt w:val="lowerLetter"/>
      <w:lvlText w:val="%2."/>
      <w:pPr>
        <w:ind w:hanging="360" w:left="1080"/>
      </w:pPr>
    </w:lvl>
    <w:lvl w:ilvl="2">
      <w:start w:val="1"/>
      <w:numFmt w:val="lowerRoman"/>
      <w:lvlText w:val="%3."/>
      <w:pPr>
        <w:ind w:hanging="180" w:left="1800"/>
      </w:pPr>
    </w:lvl>
    <w:lvl w:ilvl="3">
      <w:start w:val="1"/>
      <w:numFmt w:val="decimal"/>
      <w:lvlText w:val="%4."/>
      <w:pPr>
        <w:ind w:hanging="360" w:left="2520"/>
      </w:pPr>
    </w:lvl>
    <w:lvl w:ilvl="4">
      <w:start w:val="1"/>
      <w:numFmt w:val="lowerLetter"/>
      <w:lvlText w:val="%5."/>
      <w:pPr>
        <w:ind w:hanging="360" w:left="3240"/>
      </w:pPr>
    </w:lvl>
    <w:lvl w:ilvl="5">
      <w:start w:val="1"/>
      <w:numFmt w:val="lowerRoman"/>
      <w:lvlText w:val="%6."/>
      <w:pPr>
        <w:ind w:hanging="180" w:left="3960"/>
      </w:pPr>
    </w:lvl>
    <w:lvl w:ilvl="6">
      <w:start w:val="1"/>
      <w:numFmt w:val="decimal"/>
      <w:lvlText w:val="%7."/>
      <w:pPr>
        <w:ind w:hanging="360" w:left="4680"/>
      </w:pPr>
    </w:lvl>
    <w:lvl w:ilvl="7">
      <w:start w:val="1"/>
      <w:numFmt w:val="lowerLetter"/>
      <w:lvlText w:val="%8."/>
      <w:pPr>
        <w:ind w:hanging="360" w:left="5400"/>
      </w:pPr>
    </w:lvl>
    <w:lvl w:ilvl="8">
      <w:start w:val="1"/>
      <w:numFmt w:val="lowerRoman"/>
      <w:lvlText w:val="%9."/>
      <w:pPr>
        <w:ind w:hanging="180" w:left="61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Неразрешенное упоминание1"/>
    <w:basedOn w:val="Style_4"/>
    <w:link w:val="Style_3_ch"/>
    <w:rPr>
      <w:color w:val="605E5C"/>
      <w:shd w:fill="E1DFDD" w:val="clear"/>
    </w:rPr>
  </w:style>
  <w:style w:styleId="Style_3_ch" w:type="character">
    <w:name w:val="Неразрешенное упоминание1"/>
    <w:basedOn w:val="Style_4_ch"/>
    <w:link w:val="Style_3"/>
    <w:rPr>
      <w:color w:val="605E5C"/>
      <w:shd w:fill="E1DFDD" w:val="clear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Balloon Text"/>
    <w:basedOn w:val="Style_2"/>
    <w:link w:val="Style_6_ch"/>
    <w:pPr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2_ch"/>
    <w:link w:val="Style_6"/>
    <w:rPr>
      <w:rFonts w:ascii="Segoe UI" w:hAnsi="Segoe UI"/>
      <w:sz w:val="18"/>
    </w:rPr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List Paragraph"/>
    <w:basedOn w:val="Style_2"/>
    <w:link w:val="Style_11_ch"/>
    <w:pPr>
      <w:ind w:firstLine="0" w:left="720"/>
      <w:contextualSpacing w:val="1"/>
    </w:pPr>
  </w:style>
  <w:style w:styleId="Style_11_ch" w:type="character">
    <w:name w:val="List Paragraph"/>
    <w:basedOn w:val="Style_2_ch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Просмотренная гиперссылка1"/>
    <w:basedOn w:val="Style_4"/>
    <w:link w:val="Style_14_ch"/>
    <w:rPr>
      <w:color w:themeColor="followedHyperlink" w:val="000000"/>
      <w:u w:val="single"/>
    </w:rPr>
  </w:style>
  <w:style w:styleId="Style_14_ch" w:type="character">
    <w:name w:val="Просмотренная гиперссылка1"/>
    <w:basedOn w:val="Style_4_ch"/>
    <w:link w:val="Style_14"/>
    <w:rPr>
      <w:color w:themeColor="followedHyperlink" w:val="000000"/>
      <w:u w:val="singl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16" w:type="paragraph">
    <w:name w:val="heading 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link w:val="Style_1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rFonts w:ascii="XO Thames" w:hAnsi="XO Thames"/>
      <w:color w:val="757575"/>
      <w:sz w:val="20"/>
    </w:rPr>
  </w:style>
  <w:style w:styleId="Style_19_ch" w:type="character">
    <w:name w:val="Footnote"/>
    <w:link w:val="Style_19"/>
    <w:rPr>
      <w:rFonts w:ascii="XO Thames" w:hAnsi="XO Thames"/>
      <w:color w:val="757575"/>
      <w:sz w:val="20"/>
    </w:rPr>
  </w:style>
  <w:style w:styleId="Style_20" w:type="paragraph">
    <w:name w:val="toc 1"/>
    <w:link w:val="Style_20_ch"/>
    <w:uiPriority w:val="39"/>
    <w:rPr>
      <w:rFonts w:ascii="XO Thames" w:hAnsi="XO Thames"/>
      <w:b w:val="1"/>
    </w:rPr>
  </w:style>
  <w:style w:styleId="Style_20_ch" w:type="character">
    <w:name w:val="toc 1"/>
    <w:link w:val="Style_20"/>
    <w:rPr>
      <w:rFonts w:ascii="XO Thames" w:hAnsi="XO Thames"/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Гиперссылка1"/>
    <w:basedOn w:val="Style_4"/>
    <w:link w:val="Style_25_ch"/>
    <w:rPr>
      <w:color w:themeColor="hyperlink" w:val="000000"/>
      <w:u w:val="single"/>
    </w:rPr>
  </w:style>
  <w:style w:styleId="Style_25_ch" w:type="character">
    <w:name w:val="Гиперссылка1"/>
    <w:basedOn w:val="Style_4_ch"/>
    <w:link w:val="Style_25"/>
    <w:rPr>
      <w:color w:themeColor="hyperlink" w:val="000000"/>
      <w:u w:val="single"/>
    </w:rPr>
  </w:style>
  <w:style w:styleId="Style_26" w:type="paragraph">
    <w:name w:val="Subtitle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Сетка таблицы1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MyOffice-CoreFramework-Windows/13.0-597.96.2935.234.1@RELEASE-DESKTOP-MINT-ST-2</Application>
</Properties>
</file>