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8"/>
          <w:tab w:val="left" w:pos="8250" w:leader="none"/>
        </w:tabs>
        <w:rPr/>
      </w:pPr>
      <w:r>
        <w:rPr/>
        <w:tab/>
      </w:r>
    </w:p>
    <w:tbl>
      <w:tblPr>
        <w:tblW w:w="5209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5209"/>
      </w:tblGrid>
      <w:tr>
        <w:trPr/>
        <w:tc>
          <w:tcPr>
            <w:tcW w:w="5209" w:type="dxa"/>
            <w:tcBorders/>
            <w:shd w:fill="auto" w:val="clear"/>
            <w:vAlign w:val="center"/>
          </w:tcPr>
          <w:p>
            <w:pPr>
              <w:pStyle w:val="3"/>
              <w:numPr>
                <w:ilvl w:val="2"/>
                <w:numId w:val="2"/>
              </w:numPr>
              <w:spacing w:before="0" w:after="0"/>
              <w:ind w:left="0" w:right="0" w:hanging="0"/>
              <w:rPr>
                <w:rFonts w:ascii="Roboto;RobotoDraft;Helvetica;Arial;sans-serif" w:hAnsi="Roboto;RobotoDraft;Helvetica;Arial;sans-serif"/>
                <w:color w:val="555555"/>
              </w:rPr>
            </w:pPr>
            <w:r>
              <w:rPr>
                <w:rFonts w:ascii="Roboto;RobotoDraft;Helvetica;Arial;sans-serif" w:hAnsi="Roboto;RobotoDraft;Helvetica;Arial;sans-serif"/>
                <w:color w:val="555555"/>
              </w:rPr>
            </w:r>
          </w:p>
        </w:tc>
      </w:tr>
    </w:tbl>
    <w:p>
      <w:pPr>
        <w:pStyle w:val="Normal"/>
        <w:tabs>
          <w:tab w:val="clear" w:pos="708"/>
          <w:tab w:val="left" w:pos="8250" w:leader="none"/>
        </w:tabs>
        <w:rPr/>
      </w:pPr>
      <w:r>
        <w:rPr>
          <w:rFonts w:cs="Times New Roman" w:ascii="Times New Roman" w:hAnsi="Times New Roman"/>
          <w:b/>
          <w:bCs/>
          <w:sz w:val="24"/>
          <w:szCs w:val="24"/>
          <w:lang w:val="ru-RU"/>
        </w:rPr>
        <w:t>Величко.Ю.Н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ТЕХНОЛОГИЧЕСКАЯ КАРТА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ПОЗНАВАТЕЛЬНО-РЕЧЕВОЙ ДЕЯТЕЛЬНОСТИ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ТЕМА «Вершки-корешки»</w:t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>Старшая группа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b/>
          <w:bCs/>
          <w:sz w:val="24"/>
          <w:szCs w:val="24"/>
        </w:rPr>
        <w:t>Цель:</w:t>
      </w:r>
      <w:r>
        <w:rPr/>
        <w:t xml:space="preserve"> </w:t>
      </w:r>
      <w:bookmarkStart w:id="0" w:name="__DdeLink__2120_1963229794"/>
      <w:r>
        <w:rPr>
          <w:rFonts w:cs="Times New Roman" w:ascii="Times New Roman" w:hAnsi="Times New Roman"/>
          <w:sz w:val="24"/>
          <w:szCs w:val="24"/>
        </w:rPr>
        <w:t>Создание  условий для расширения представления</w:t>
      </w:r>
      <w:r>
        <w:rPr>
          <w:rFonts w:cs="Times New Roman" w:ascii="Lora;serif" w:hAnsi="Lora;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о том , что у каждого огородного растения есть надземная часть, называемая «вершком», и подземная — это «корешок»</w:t>
      </w:r>
      <w:r>
        <w:rPr>
          <w:rFonts w:cs="Times New Roman" w:ascii="Times New Roman" w:hAnsi="Times New Roman"/>
          <w:sz w:val="24"/>
          <w:szCs w:val="24"/>
        </w:rPr>
        <w:t>.</w:t>
      </w:r>
      <w:bookmarkEnd w:id="0"/>
      <w:r>
        <w:rPr>
          <w:rFonts w:cs="Times New Roman" w:ascii="Times New Roman" w:hAnsi="Times New Roman"/>
          <w:sz w:val="24"/>
          <w:szCs w:val="24"/>
        </w:rPr>
        <w:t xml:space="preserve"> Формировать умение детей соотносить форму с известными геометрическими фигурами отражать результаты сравнения в своей речи по средствам дидактической игры «Сбор урожая», активизация словаря (вершки, корешки )по средствам беседы.</w:t>
      </w:r>
    </w:p>
    <w:p>
      <w:pPr>
        <w:pStyle w:val="Normal"/>
        <w:rPr/>
      </w:pPr>
      <w:r>
        <w:rPr>
          <w:rFonts w:cs="Times New Roman" w:ascii="Times New Roman" w:hAnsi="Times New Roman"/>
          <w:b/>
          <w:bCs/>
          <w:sz w:val="24"/>
          <w:szCs w:val="24"/>
        </w:rPr>
        <w:t>Материал и оборудование</w:t>
      </w:r>
      <w:r>
        <w:rPr>
          <w:rFonts w:cs="Times New Roman" w:ascii="Times New Roman" w:hAnsi="Times New Roman"/>
          <w:sz w:val="24"/>
          <w:szCs w:val="24"/>
        </w:rPr>
        <w:t>:</w:t>
      </w:r>
      <w:r>
        <w:rPr>
          <w:rFonts w:eastAsia="Calibri" w:cs="Times New Roman" w:ascii="Times New Roman" w:hAnsi="Times New Roman"/>
          <w:sz w:val="24"/>
          <w:szCs w:val="24"/>
        </w:rPr>
        <w:t xml:space="preserve">Иллюстрации  Овощей , </w:t>
      </w:r>
      <w:r>
        <w:rPr>
          <w:rFonts w:eastAsia="Calibri" w:cs="Times New Roman" w:ascii="Times New Roman" w:hAnsi="Times New Roman"/>
          <w:sz w:val="24"/>
          <w:szCs w:val="24"/>
        </w:rPr>
        <w:t>Проэктор</w:t>
      </w:r>
      <w:r>
        <w:rPr>
          <w:rFonts w:eastAsia="Calibri" w:cs="Times New Roman" w:ascii="Times New Roman" w:hAnsi="Times New Roman"/>
          <w:sz w:val="24"/>
          <w:szCs w:val="24"/>
        </w:rPr>
        <w:t xml:space="preserve">. Игрушка Почемучка. </w:t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Микротемы: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b/>
          <w:bCs/>
          <w:sz w:val="24"/>
          <w:szCs w:val="24"/>
        </w:rPr>
        <w:t>1.</w:t>
      </w:r>
      <w:r>
        <w:rPr>
          <w:rFonts w:cs="Times New Roman" w:ascii="Times New Roman" w:hAnsi="Times New Roman"/>
          <w:bCs/>
          <w:sz w:val="24"/>
          <w:szCs w:val="24"/>
        </w:rPr>
        <w:t xml:space="preserve"> Грядка.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b/>
          <w:bCs/>
          <w:sz w:val="24"/>
          <w:szCs w:val="24"/>
        </w:rPr>
        <w:t>2.</w:t>
      </w:r>
      <w:r>
        <w:rPr>
          <w:rFonts w:cs="Times New Roman" w:ascii="Times New Roman" w:hAnsi="Times New Roman"/>
          <w:bCs/>
          <w:sz w:val="24"/>
          <w:szCs w:val="24"/>
        </w:rPr>
        <w:t>.Вершки и корешки.</w:t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3.</w:t>
      </w:r>
      <w:r>
        <w:rPr>
          <w:rFonts w:cs="Times New Roman" w:ascii="Times New Roman" w:hAnsi="Times New Roman"/>
          <w:bCs/>
          <w:sz w:val="24"/>
          <w:szCs w:val="24"/>
        </w:rPr>
        <w:t>Сбор урожая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4. 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4"/>
          <w:szCs w:val="24"/>
        </w:rPr>
        <w:t>Ждем гостей готовим из овощей.</w:t>
      </w:r>
    </w:p>
    <w:p>
      <w:pPr>
        <w:pStyle w:val="Normal"/>
        <w:rPr/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Предшествующая работа: </w:t>
      </w:r>
      <w:r>
        <w:rPr>
          <w:rFonts w:cs="Times New Roman" w:ascii="Times New Roman" w:hAnsi="Times New Roman"/>
          <w:bCs/>
          <w:sz w:val="24"/>
          <w:szCs w:val="24"/>
        </w:rPr>
        <w:t>Чтение художественной литературы, загадывание загадок про овощи. Рассматривание иллюстраций с изображением овощей. Беседы с детьми об овощах. Презентация «Овощи на грядках».Игра  «Вершки и корешки»  Рисование овощей, отгадывание загадок. Дидактическая игра «Овощи и геометрические фигуры» Презентация «Овощи и геометрические фигуры»</w:t>
      </w:r>
    </w:p>
    <w:p>
      <w:pPr>
        <w:pStyle w:val="Normal"/>
        <w:rPr/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Ожидаемый результат: </w:t>
      </w:r>
      <w:r>
        <w:rPr>
          <w:rFonts w:cs="Times New Roman" w:ascii="Times New Roman" w:hAnsi="Times New Roman"/>
          <w:bCs/>
          <w:sz w:val="24"/>
          <w:szCs w:val="24"/>
        </w:rPr>
        <w:t xml:space="preserve">дети знаю названия съедобных  и несъедобных частей у овощей. Дети понимают 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о том, что растения-живые существа (для их роста и развития нужна вода,земля,тепло и свет)</w:t>
      </w:r>
      <w:r>
        <w:rPr>
          <w:rFonts w:cs="Times New Roman" w:ascii="Times New Roman" w:hAnsi="Times New Roman"/>
          <w:bCs/>
          <w:sz w:val="24"/>
          <w:szCs w:val="24"/>
        </w:rPr>
        <w:t>. Умеют сотносить форму овоща с геометрической фигурой (овал .круг ,треугольник). Знают, что такое вершки и что такое корешки и используют эти слова при составлении коротких рассказах.</w:t>
      </w:r>
    </w:p>
    <w:tbl>
      <w:tblPr>
        <w:tblStyle w:val="a4"/>
        <w:tblW w:w="1456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853"/>
        <w:gridCol w:w="4853"/>
        <w:gridCol w:w="4854"/>
      </w:tblGrid>
      <w:tr>
        <w:trPr/>
        <w:tc>
          <w:tcPr>
            <w:tcW w:w="14560" w:type="dxa"/>
            <w:gridSpan w:val="3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Задачи</w:t>
            </w:r>
          </w:p>
        </w:tc>
      </w:tr>
      <w:tr>
        <w:trPr/>
        <w:tc>
          <w:tcPr>
            <w:tcW w:w="485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Познавательно-речевая</w:t>
            </w:r>
          </w:p>
        </w:tc>
        <w:tc>
          <w:tcPr>
            <w:tcW w:w="485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Развивающая</w:t>
            </w:r>
          </w:p>
        </w:tc>
        <w:tc>
          <w:tcPr>
            <w:tcW w:w="485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Воспитательная</w:t>
            </w:r>
          </w:p>
        </w:tc>
      </w:tr>
      <w:tr>
        <w:trPr/>
        <w:tc>
          <w:tcPr>
            <w:tcW w:w="4853" w:type="dxa"/>
            <w:tcBorders/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cs="Times New Roman" w:ascii="Lora;serif" w:hAnsi="Lora;serif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 xml:space="preserve">Создать условие для </w:t>
            </w:r>
            <w:bookmarkStart w:id="1" w:name="__DdeLink__3067_5431622161"/>
            <w:r>
              <w:rPr>
                <w:rFonts w:cs="Times New Roman" w:ascii="Lora;serif" w:hAnsi="Lora;serif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 xml:space="preserve"> расширения представлений о том , что у каждого огородного растения есть надземная часть, называемая «вершком», и подземная — это «корешок»</w:t>
            </w:r>
            <w:bookmarkEnd w:id="1"/>
          </w:p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Создать условие для закрепления представлений о том,что растения-живые существа (для их роста и развития нужна вода,земля,тепло и свет)</w:t>
            </w:r>
          </w:p>
          <w:p>
            <w:pPr>
              <w:pStyle w:val="Normal"/>
              <w:spacing w:lineRule="auto" w:line="240" w:before="0" w:after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 xml:space="preserve">Создать условия для ознакомления детей </w:t>
            </w:r>
          </w:p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с овалом на основе сравнения с кругом.</w:t>
            </w:r>
          </w:p>
          <w:p>
            <w:pPr>
              <w:pStyle w:val="Normal"/>
              <w:spacing w:lineRule="auto" w:line="240" w:before="0" w:after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Пополнить и активизировать словарь детей (вершки, корешки</w:t>
            </w: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 xml:space="preserve"> )</w:t>
            </w:r>
          </w:p>
          <w:p>
            <w:pPr>
              <w:pStyle w:val="Normal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 xml:space="preserve">Создать условие для расширения представлений детей о внешнем виде  овощей, способах их использования в пищу. </w:t>
            </w:r>
          </w:p>
          <w:p>
            <w:pPr>
              <w:pStyle w:val="Normal"/>
              <w:spacing w:lineRule="auto" w:line="240" w:before="0" w:after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Создать условия для закрепления умений отвечать на вопросы полным предложением.</w:t>
            </w:r>
          </w:p>
          <w:p>
            <w:pPr>
              <w:pStyle w:val="Normal"/>
              <w:spacing w:lineRule="auto" w:line="240" w:before="0" w:after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485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>
                <w:b w:val="false"/>
                <w:b w:val="false"/>
                <w:bCs w:val="fals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Развивать связную речь ( сравнивать, анализировать, устанавливать простейшие причинно-следственные связи, делать обобщения..</w:t>
            </w:r>
          </w:p>
          <w:p>
            <w:pPr>
              <w:pStyle w:val="Normal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left"/>
              <w:rPr>
                <w:rFonts w:ascii="Calibri" w:hAnsi="Calibri" w:eastAsia="Calibri" w:cs="Times New Roman"/>
                <w:b w:val="false"/>
                <w:b w:val="false"/>
                <w:bCs w:val="false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sz w:val="24"/>
                <w:szCs w:val="24"/>
              </w:rPr>
              <w:t>Развивать память, внимание, стимулировать речевую активность</w:t>
            </w:r>
          </w:p>
          <w:p>
            <w:pPr>
              <w:pStyle w:val="Normal"/>
              <w:spacing w:lineRule="auto" w:line="259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485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>
                <w:b w:val="false"/>
                <w:b w:val="false"/>
                <w:bCs w:val="fals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/>
                <w:iCs/>
                <w:sz w:val="24"/>
                <w:szCs w:val="24"/>
              </w:rPr>
              <w:t>В</w:t>
            </w: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оспитывать бережное отношение к окружающему  миру.</w:t>
            </w:r>
          </w:p>
          <w:p>
            <w:pPr>
              <w:pStyle w:val="Normal"/>
              <w:spacing w:lineRule="auto" w:line="240" w:before="0" w:after="0"/>
              <w:jc w:val="left"/>
              <w:rPr>
                <w:b w:val="false"/>
                <w:b w:val="false"/>
                <w:bCs w:val="fals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/>
                <w:iCs/>
                <w:sz w:val="24"/>
                <w:szCs w:val="24"/>
              </w:rPr>
              <w:t>В</w:t>
            </w: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 xml:space="preserve">оспитывать внимательно слушать собеседника, не перебивать его, не отвлекаться; </w:t>
            </w:r>
          </w:p>
          <w:p>
            <w:pPr>
              <w:pStyle w:val="Normal"/>
              <w:spacing w:lineRule="auto" w:line="240" w:before="0" w:after="0"/>
              <w:jc w:val="left"/>
              <w:rPr>
                <w:b w:val="false"/>
                <w:b w:val="false"/>
                <w:bCs w:val="fals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Воспитывать познавательный интерес</w:t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Основной ход познавательно-речевой деятельности</w:t>
      </w:r>
    </w:p>
    <w:tbl>
      <w:tblPr>
        <w:tblStyle w:val="a4"/>
        <w:tblW w:w="1456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14"/>
        <w:gridCol w:w="2155"/>
        <w:gridCol w:w="1750"/>
        <w:gridCol w:w="2359"/>
        <w:gridCol w:w="2972"/>
        <w:gridCol w:w="3167"/>
        <w:gridCol w:w="1643"/>
      </w:tblGrid>
      <w:tr>
        <w:trPr/>
        <w:tc>
          <w:tcPr>
            <w:tcW w:w="5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15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Этап, продолжительность</w:t>
            </w:r>
          </w:p>
        </w:tc>
        <w:tc>
          <w:tcPr>
            <w:tcW w:w="17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Методы, приемы</w:t>
            </w:r>
          </w:p>
        </w:tc>
        <w:tc>
          <w:tcPr>
            <w:tcW w:w="235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Вопросы для детей</w:t>
            </w:r>
          </w:p>
        </w:tc>
        <w:tc>
          <w:tcPr>
            <w:tcW w:w="297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Предполагаемая деятельность детей</w:t>
            </w:r>
          </w:p>
        </w:tc>
        <w:tc>
          <w:tcPr>
            <w:tcW w:w="316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Деятельность педагога</w:t>
            </w:r>
          </w:p>
        </w:tc>
        <w:tc>
          <w:tcPr>
            <w:tcW w:w="164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Планируемый результат</w:t>
            </w:r>
          </w:p>
        </w:tc>
      </w:tr>
      <w:tr>
        <w:trPr/>
        <w:tc>
          <w:tcPr>
            <w:tcW w:w="5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1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1.1</w:t>
            </w:r>
          </w:p>
        </w:tc>
        <w:tc>
          <w:tcPr>
            <w:tcW w:w="215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Вводный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Организационный</w:t>
            </w:r>
          </w:p>
        </w:tc>
        <w:tc>
          <w:tcPr>
            <w:tcW w:w="17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Словесные методы и приемы: художественное слово, беседа, вопрос</w:t>
            </w:r>
          </w:p>
        </w:tc>
        <w:tc>
          <w:tcPr>
            <w:tcW w:w="235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Cs w:val="24"/>
              </w:rPr>
              <w:t xml:space="preserve">Воспитатель читает стихотворение;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Cs w:val="24"/>
              </w:rPr>
              <w:t>- Ребята, кто догадался, о чем мы будем сегодня говорить?</w:t>
            </w:r>
          </w:p>
        </w:tc>
        <w:tc>
          <w:tcPr>
            <w:tcW w:w="297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Внимательно слушают.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Отвечают на вопрос по очереди, стараясь не повторить ответ товарища</w:t>
            </w:r>
          </w:p>
        </w:tc>
        <w:tc>
          <w:tcPr>
            <w:tcW w:w="316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 xml:space="preserve">Чтение стихотворения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Красивее всех томаты – Так красны и так пузаты, Помидоры! Не томаты! Всё равно – красны, пузаты! А с морковкой всё в порядке, Рядом со свеклой на грядке, Распушив свою макушку, Спрятала от солнца брюшко.      У капусты платьев шилось Штук, наверное, пятьдесят, Их одела, нарядилась, Как красив её наряд! Вот зелёный огурец, Крепкий чудо-молодец! И пупырчатою кожей, На лягушку чуть похожий. Друг от дружки близко-близко Ярко-красная редиска, Им бы всем купить расчёски К модным хвостикам-причёскам!</w:t>
            </w:r>
          </w:p>
        </w:tc>
        <w:tc>
          <w:tcPr>
            <w:tcW w:w="164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Повышенный интерес к занятию, сконцентрированное внимание</w:t>
            </w:r>
          </w:p>
        </w:tc>
      </w:tr>
      <w:tr>
        <w:trPr/>
        <w:tc>
          <w:tcPr>
            <w:tcW w:w="5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1.2</w:t>
            </w:r>
          </w:p>
        </w:tc>
        <w:tc>
          <w:tcPr>
            <w:tcW w:w="215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Мотивационный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</w:tc>
        <w:tc>
          <w:tcPr>
            <w:tcW w:w="17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Игровой приём</w:t>
            </w:r>
          </w:p>
        </w:tc>
        <w:tc>
          <w:tcPr>
            <w:tcW w:w="235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А вы хорошо знаете овощи? А что любите больше всего? Ребята а мы можем помочь нашему Почемучке?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 xml:space="preserve"> </w:t>
            </w:r>
          </w:p>
        </w:tc>
        <w:tc>
          <w:tcPr>
            <w:tcW w:w="297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Дети предлагают варианты ответов.</w:t>
            </w:r>
          </w:p>
        </w:tc>
        <w:tc>
          <w:tcPr>
            <w:tcW w:w="316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Calibri" w:cs="Times New Roman" w:ascii="Times New Roman" w:hAnsi="Times New Roman"/>
                <w:b w:val="false"/>
                <w:bCs/>
                <w:sz w:val="24"/>
                <w:szCs w:val="24"/>
              </w:rPr>
              <w:t>Педагог говорит о том ,что к ребятам пришел гость которому очень понравилось стихотворение  Почемучка огорчен, что т он очень мало знает об овощах и путает съедобную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sz w:val="24"/>
                <w:szCs w:val="24"/>
              </w:rPr>
              <w:t xml:space="preserve"> и несъедобную часть овощей.</w:t>
            </w:r>
          </w:p>
        </w:tc>
        <w:tc>
          <w:tcPr>
            <w:tcW w:w="164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</w:r>
          </w:p>
        </w:tc>
      </w:tr>
      <w:tr>
        <w:trPr/>
        <w:tc>
          <w:tcPr>
            <w:tcW w:w="5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2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215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Основной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Микротема 1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«Остановка Грядка.»</w:t>
            </w:r>
          </w:p>
        </w:tc>
        <w:tc>
          <w:tcPr>
            <w:tcW w:w="17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Словесные методы: наводящие вопросы, беседа.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Наглядный.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Методы оценки: словесная похвала.</w:t>
            </w:r>
          </w:p>
        </w:tc>
        <w:tc>
          <w:tcPr>
            <w:tcW w:w="235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первая остановка, называется она «Грядка».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 xml:space="preserve">Ребята, как вы считаете, где растут овощи? А как вы думаете ,что нужно овощам для роста и развития? Почему?Есть ли овощи, у которые люди едят вершки ?А корешки?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297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Дети предлагают варианты ответов на вопросы.</w:t>
            </w:r>
          </w:p>
        </w:tc>
        <w:tc>
          <w:tcPr>
            <w:tcW w:w="316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Задает вопросы детям. Показывает и рассказывает про съедобные и не съедобные части овощей.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 xml:space="preserve">Предлагает детям поиграть. </w:t>
            </w:r>
          </w:p>
        </w:tc>
        <w:tc>
          <w:tcPr>
            <w:tcW w:w="164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Дети знают где растут овощи, знают какие части овощей можно есть.</w:t>
            </w:r>
          </w:p>
        </w:tc>
      </w:tr>
      <w:tr>
        <w:trPr/>
        <w:tc>
          <w:tcPr>
            <w:tcW w:w="5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215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Микротема 2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«Вершки корешки»</w:t>
            </w:r>
          </w:p>
        </w:tc>
        <w:tc>
          <w:tcPr>
            <w:tcW w:w="17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Словесные методы: наводящие вопросы, беседа</w:t>
            </w:r>
          </w:p>
          <w:p>
            <w:pPr>
              <w:pStyle w:val="Normal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 xml:space="preserve">Наглядный </w:t>
            </w:r>
          </w:p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Методы оценки: словесная похвала.</w:t>
            </w:r>
          </w:p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Игровой метод</w:t>
            </w:r>
          </w:p>
        </w:tc>
        <w:tc>
          <w:tcPr>
            <w:tcW w:w="235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Справились с первым заданием. Продолжим наше путешествие.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Что же это такое? А как одним словом можно назвать все это?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Если я скажу картошка вы  поднимите или опустите руки? Морковка? помидор?и.тд.</w:t>
            </w:r>
          </w:p>
        </w:tc>
        <w:tc>
          <w:tcPr>
            <w:tcW w:w="297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Дети поднимают и опускают руки согласно правилам воспитателя.</w:t>
            </w:r>
          </w:p>
        </w:tc>
        <w:tc>
          <w:tcPr>
            <w:tcW w:w="316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Предлагает детям сыграть в игру. Сейчас я посмотрю, знаете ли вы какие части овощей люди употребляют в пищу. Я буду называть овощ, если он растет на земле, вы поднимайте руки вверх, а если под землей – опускайте руки вниз. Молодцы</w:t>
            </w:r>
          </w:p>
        </w:tc>
        <w:tc>
          <w:tcPr>
            <w:tcW w:w="164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Дети знают съедобные и несъедобные  части овощей. Правильно выполняют движения.</w:t>
            </w:r>
          </w:p>
        </w:tc>
      </w:tr>
      <w:tr>
        <w:trPr/>
        <w:tc>
          <w:tcPr>
            <w:tcW w:w="5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2.3</w:t>
            </w:r>
          </w:p>
        </w:tc>
        <w:tc>
          <w:tcPr>
            <w:tcW w:w="215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Микротема 3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«Сбор урожая»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</w:tc>
        <w:tc>
          <w:tcPr>
            <w:tcW w:w="17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Игровой метод</w:t>
            </w: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Смарт -доска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235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Какие геометрические фигуры нарисованы на корзинках?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Что общего между овалом и кругом? Чем отличается треугольник от овала и круга? Что нарисовано на этой корзинке(круг)? Какие овощи мы в нее положим?А на этой?(треугольник)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На этой ?(овал)</w:t>
            </w:r>
          </w:p>
        </w:tc>
        <w:tc>
          <w:tcPr>
            <w:tcW w:w="297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Дети следуя правилам игры маленькие овощи складывают в маленькую корзинку, а большие в большую.</w:t>
            </w:r>
          </w:p>
        </w:tc>
        <w:tc>
          <w:tcPr>
            <w:tcW w:w="316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Воспитатель рассказывает о том, что Почемучка вырастил очень большой урожай, теперь его надо собрать. Рассматриваем, что выросло на грядках (свекла, морковь, капуста). Уточняем, во что мы будем собирать овощи.</w:t>
            </w:r>
          </w:p>
        </w:tc>
        <w:tc>
          <w:tcPr>
            <w:tcW w:w="164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 xml:space="preserve">Дети умеют сравнивать соотносить форму с известными геометрическими фигурами отражать результаты сравнения в своей речи </w:t>
            </w:r>
          </w:p>
        </w:tc>
      </w:tr>
      <w:tr>
        <w:trPr/>
        <w:tc>
          <w:tcPr>
            <w:tcW w:w="5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2.4</w:t>
            </w:r>
          </w:p>
        </w:tc>
        <w:tc>
          <w:tcPr>
            <w:tcW w:w="215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Микротема 4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«Ждем гостей готовим из овощей .»</w:t>
            </w:r>
          </w:p>
        </w:tc>
        <w:tc>
          <w:tcPr>
            <w:tcW w:w="17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.</w:t>
            </w:r>
          </w:p>
        </w:tc>
        <w:tc>
          <w:tcPr>
            <w:tcW w:w="235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 xml:space="preserve">Следующая остановка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Ребята, а как вы думаете, какие блюда можно приготовить из овощей?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Какие овощи есть  в этом блюде?</w:t>
            </w:r>
          </w:p>
        </w:tc>
        <w:tc>
          <w:tcPr>
            <w:tcW w:w="297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Дети называют варианты овощей.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316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Воспитатель показывает слайды на смарт -доске (Пюре картошка ,тушенная капуста ,свежий салат ,тушенная капуста,и т.д )</w:t>
            </w:r>
          </w:p>
        </w:tc>
        <w:tc>
          <w:tcPr>
            <w:tcW w:w="164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 xml:space="preserve">Дети знают какие блюда готовят с овощами </w:t>
            </w:r>
          </w:p>
        </w:tc>
      </w:tr>
      <w:tr>
        <w:trPr/>
        <w:tc>
          <w:tcPr>
            <w:tcW w:w="5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3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215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Заключительный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Подведение итогов</w:t>
            </w:r>
          </w:p>
        </w:tc>
        <w:tc>
          <w:tcPr>
            <w:tcW w:w="17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 xml:space="preserve">Словесный </w:t>
            </w:r>
          </w:p>
        </w:tc>
        <w:tc>
          <w:tcPr>
            <w:tcW w:w="235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-давайте вспомним какие овощи мы знаем и какие из них растут в земле, а какие на земле.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 xml:space="preserve">Как называется </w:t>
            </w:r>
            <w:r>
              <w:rPr>
                <w:rFonts w:cs="Times New Roman" w:ascii="Lora;serif" w:hAnsi="Lora;serif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>надземная часть? «вершком», А подземная ?— это «корешок»</w:t>
            </w:r>
          </w:p>
        </w:tc>
        <w:tc>
          <w:tcPr>
            <w:tcW w:w="297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Дети отвечают по очереди.</w:t>
            </w:r>
          </w:p>
        </w:tc>
        <w:tc>
          <w:tcPr>
            <w:tcW w:w="316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Вместе с детьми подводят итог</w:t>
            </w:r>
          </w:p>
        </w:tc>
        <w:tc>
          <w:tcPr>
            <w:tcW w:w="164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Дети знают какие овощи растут под землей и какие на земле.</w:t>
            </w:r>
          </w:p>
        </w:tc>
      </w:tr>
      <w:tr>
        <w:trPr/>
        <w:tc>
          <w:tcPr>
            <w:tcW w:w="5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215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Рефлексия</w:t>
            </w:r>
          </w:p>
        </w:tc>
        <w:tc>
          <w:tcPr>
            <w:tcW w:w="17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 xml:space="preserve">Словесный </w:t>
            </w:r>
          </w:p>
        </w:tc>
        <w:tc>
          <w:tcPr>
            <w:tcW w:w="235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Вот и закончилось наше путешествие. Скажите, дети где мы сегодня были? Чем занимались?Что больше всего понравилось?</w:t>
            </w:r>
          </w:p>
        </w:tc>
        <w:tc>
          <w:tcPr>
            <w:tcW w:w="297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Дети рассказывают о своем путешествии и своих впечатлениях</w:t>
            </w:r>
          </w:p>
        </w:tc>
        <w:tc>
          <w:tcPr>
            <w:tcW w:w="316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Предлагает выбрать наклейки, которые им подарил Почему.</w:t>
            </w:r>
          </w:p>
        </w:tc>
        <w:tc>
          <w:tcPr>
            <w:tcW w:w="164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Дети знают где и как растут овощи, знают части растений (какие съедобные, а какие нет)</w:t>
            </w:r>
            <w:bookmarkStart w:id="2" w:name="_Hlk95085238"/>
            <w:bookmarkEnd w:id="2"/>
          </w:p>
        </w:tc>
      </w:tr>
    </w:tbl>
    <w:p>
      <w:pPr>
        <w:pStyle w:val="Normal"/>
        <w:spacing w:lineRule="auto" w:line="360" w:before="0" w:after="160"/>
        <w:ind w:firstLine="709"/>
        <w:contextualSpacing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ПРИЛОЖЕНИЕ Б – Технологическая карта проведения дидактической игры.</w:t>
      </w:r>
    </w:p>
    <w:p>
      <w:pPr>
        <w:pStyle w:val="Normal"/>
        <w:spacing w:lineRule="auto" w:line="360" w:before="0" w:after="160"/>
        <w:ind w:firstLine="709"/>
        <w:contextualSpacing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 w:before="0" w:after="160"/>
        <w:ind w:firstLine="709"/>
        <w:contextualSpacing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 w:before="0" w:after="160"/>
        <w:ind w:firstLine="709"/>
        <w:contextualSpacing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 w:before="0" w:after="160"/>
        <w:ind w:firstLine="709"/>
        <w:contextualSpacing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 w:before="0" w:after="160"/>
        <w:ind w:firstLine="709"/>
        <w:contextualSpacing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 w:before="0" w:after="160"/>
        <w:ind w:firstLine="709"/>
        <w:contextualSpacing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 w:before="0" w:after="160"/>
        <w:ind w:firstLine="709"/>
        <w:contextualSpacing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 w:before="0" w:after="160"/>
        <w:ind w:firstLine="709"/>
        <w:contextualSpacing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 w:before="0" w:after="160"/>
        <w:ind w:firstLine="709"/>
        <w:contextualSpacing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 w:before="0" w:after="160"/>
        <w:ind w:firstLine="709"/>
        <w:contextualSpacing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 w:before="0" w:after="160"/>
        <w:ind w:firstLine="709"/>
        <w:contextualSpacing/>
        <w:jc w:val="right"/>
        <w:rPr/>
      </w:pPr>
      <w:r>
        <w:rPr>
          <w:rFonts w:cs="Times New Roman" w:ascii="Times New Roman" w:hAnsi="Times New Roman"/>
          <w:b/>
          <w:bCs/>
          <w:sz w:val="24"/>
          <w:szCs w:val="24"/>
        </w:rPr>
        <w:t>Величко .Ю.Н</w:t>
      </w:r>
    </w:p>
    <w:p>
      <w:pPr>
        <w:pStyle w:val="Normal"/>
        <w:spacing w:lineRule="auto" w:line="360" w:before="0" w:after="160"/>
        <w:ind w:firstLine="709"/>
        <w:contextualSpacing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ТЕХНОЛОГИЧЕСКАЯ КАРТА </w:t>
      </w:r>
    </w:p>
    <w:p>
      <w:pPr>
        <w:pStyle w:val="Normal"/>
        <w:spacing w:lineRule="auto" w:line="360" w:before="0" w:after="160"/>
        <w:ind w:firstLine="709"/>
        <w:contextualSpacing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ПРОВЕДЕНИЯ ДИДАКТИЧЕСКОЙ ИГРЫ ПОЗНАВТЕЛЬНО-РЕЧЕВОЙ НАПРАВЛЕННОСТИ</w:t>
      </w:r>
    </w:p>
    <w:p>
      <w:pPr>
        <w:pStyle w:val="Normal"/>
        <w:spacing w:lineRule="auto" w:line="360" w:before="0" w:after="160"/>
        <w:ind w:firstLine="709"/>
        <w:contextualSpacing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«Вершки-корешки »</w:t>
      </w:r>
    </w:p>
    <w:p>
      <w:pPr>
        <w:pStyle w:val="Normal"/>
        <w:spacing w:lineRule="auto" w:line="360" w:before="0" w:after="160"/>
        <w:ind w:firstLine="709"/>
        <w:contextualSpacing/>
        <w:jc w:val="center"/>
        <w:rPr/>
      </w:pPr>
      <w:r>
        <w:rPr>
          <w:rFonts w:cs="Times New Roman" w:ascii="Times New Roman" w:hAnsi="Times New Roman"/>
          <w:b/>
          <w:bCs/>
          <w:i/>
          <w:iCs/>
          <w:sz w:val="28"/>
          <w:szCs w:val="20"/>
        </w:rPr>
        <w:t>Старшая группа</w:t>
      </w:r>
    </w:p>
    <w:p>
      <w:pPr>
        <w:pStyle w:val="Normal"/>
        <w:spacing w:lineRule="auto" w:line="360" w:before="0" w:after="160"/>
        <w:ind w:firstLine="709"/>
        <w:contextualSpacing/>
        <w:rPr>
          <w:rFonts w:ascii="Times New Roman" w:hAnsi="Times New Roman" w:cs="Times New Roman"/>
          <w:b/>
          <w:b/>
          <w:bCs/>
          <w:i/>
          <w:i/>
          <w:iCs/>
          <w:sz w:val="20"/>
          <w:szCs w:val="20"/>
        </w:rPr>
      </w:pPr>
      <w:r>
        <w:rPr>
          <w:rFonts w:cs="Times New Roman" w:ascii="Times New Roman" w:hAnsi="Times New Roman"/>
          <w:b/>
          <w:bCs/>
          <w:i/>
          <w:iCs/>
          <w:sz w:val="20"/>
          <w:szCs w:val="20"/>
        </w:rPr>
      </w:r>
    </w:p>
    <w:p>
      <w:pPr>
        <w:pStyle w:val="Normal"/>
        <w:spacing w:lineRule="auto" w:line="360" w:before="0" w:after="160"/>
        <w:ind w:firstLine="709"/>
        <w:contextualSpacing/>
        <w:rPr/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Материал и оборудование: Составные части (вершки и корешки) </w:t>
      </w:r>
    </w:p>
    <w:tbl>
      <w:tblPr>
        <w:tblStyle w:val="a4"/>
        <w:tblW w:w="1456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853"/>
        <w:gridCol w:w="4853"/>
        <w:gridCol w:w="4854"/>
      </w:tblGrid>
      <w:tr>
        <w:trPr/>
        <w:tc>
          <w:tcPr>
            <w:tcW w:w="14560" w:type="dxa"/>
            <w:gridSpan w:val="3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Предшествующая работа</w:t>
            </w:r>
          </w:p>
        </w:tc>
      </w:tr>
      <w:tr>
        <w:trPr/>
        <w:tc>
          <w:tcPr>
            <w:tcW w:w="485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По речевому развитию</w:t>
            </w:r>
          </w:p>
        </w:tc>
        <w:tc>
          <w:tcPr>
            <w:tcW w:w="485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По экологическому воспитанию</w:t>
            </w:r>
          </w:p>
        </w:tc>
        <w:tc>
          <w:tcPr>
            <w:tcW w:w="485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По математическому развитию</w:t>
            </w:r>
          </w:p>
        </w:tc>
      </w:tr>
      <w:tr>
        <w:trPr/>
        <w:tc>
          <w:tcPr>
            <w:tcW w:w="485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Чтение художественной литературы, разгадывание загадок, чтение стихотворений.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</w:tc>
        <w:tc>
          <w:tcPr>
            <w:tcW w:w="4853" w:type="dxa"/>
            <w:tcBorders/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b/>
                <w:b/>
                <w:bCs/>
              </w:rPr>
            </w:pPr>
            <w:r>
              <w:rPr>
                <w:rFonts w:cs="Times New Roman" w:ascii="Lora;serif" w:hAnsi="Lora;serif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>Сформировать представление у дошкольников о том , что у каждого огородного растения есть надземная часть, называемая «вершком», и подземная — это «корешок»</w:t>
            </w:r>
          </w:p>
        </w:tc>
        <w:tc>
          <w:tcPr>
            <w:tcW w:w="485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Calibri" w:cs="Times New Roman" w:ascii="Times New Roman" w:hAnsi="Times New Roman"/>
                <w:b/>
                <w:bCs/>
                <w:sz w:val="24"/>
                <w:szCs w:val="24"/>
              </w:rPr>
              <w:t>Совершенствовать умение определять  положения предмета по отношению к себе (слева ,справа,между,рядом,около)</w:t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7637780</wp:posOffset>
                </wp:positionH>
                <wp:positionV relativeFrom="paragraph">
                  <wp:posOffset>4688840</wp:posOffset>
                </wp:positionV>
                <wp:extent cx="18415" cy="4445"/>
                <wp:effectExtent l="0" t="0" r="0" b="0"/>
                <wp:wrapSquare wrapText="largest"/>
                <wp:docPr id="1" name="Изображение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Изображение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flipH="1" rot="10800000">
                          <a:off x="0" y="0"/>
                          <a:ext cx="17640" cy="3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Изображение1" stroked="f" style="position:absolute;margin-left:601.4pt;margin-top:369.2pt;width:1.35pt;height:0.25pt;rotation:180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7995920</wp:posOffset>
                </wp:positionH>
                <wp:positionV relativeFrom="paragraph">
                  <wp:posOffset>4919980</wp:posOffset>
                </wp:positionV>
                <wp:extent cx="18415" cy="4445"/>
                <wp:effectExtent l="0" t="0" r="0" b="0"/>
                <wp:wrapSquare wrapText="largest"/>
                <wp:docPr id="2" name="Изображение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Изображение2" descr=""/>
                        <pic:cNvPicPr/>
                      </pic:nvPicPr>
                      <pic:blipFill>
                        <a:blip r:embed="rId4"/>
                        <a:srcRect l="53980" t="0" r="-24" b="0"/>
                        <a:stretch/>
                      </pic:blipFill>
                      <pic:spPr>
                        <a:xfrm flipH="1" rot="10800000">
                          <a:off x="0" y="0"/>
                          <a:ext cx="17640" cy="3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Изображение2" stroked="f" style="position:absolute;margin-left:629.6pt;margin-top:387.4pt;width:1.35pt;height:0.25pt;rotation:180" type="shapetype_75">
                <v:imagedata r:id="rId5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7823200</wp:posOffset>
                </wp:positionH>
                <wp:positionV relativeFrom="paragraph">
                  <wp:posOffset>4805680</wp:posOffset>
                </wp:positionV>
                <wp:extent cx="18415" cy="4445"/>
                <wp:effectExtent l="0" t="0" r="0" b="0"/>
                <wp:wrapSquare wrapText="largest"/>
                <wp:docPr id="3" name="Изображение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Изображение3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 flipH="1" rot="10800000">
                          <a:off x="0" y="0"/>
                          <a:ext cx="17640" cy="3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Изображение3" stroked="f" style="position:absolute;margin-left:616pt;margin-top:378.4pt;width:1.35pt;height:0.25pt;rotation:180" type="shapetype_75">
                <v:imagedata r:id="rId7" o:detectmouseclick="t"/>
                <w10:wrap type="none"/>
                <v:stroke color="#3465a4" joinstyle="round" endcap="flat"/>
              </v:shape>
            </w:pict>
          </mc:Fallback>
        </mc:AlternateContent>
      </w:r>
    </w:p>
    <w:tbl>
      <w:tblPr>
        <w:tblStyle w:val="a4"/>
        <w:tblW w:w="1456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465"/>
        <w:gridCol w:w="2347"/>
        <w:gridCol w:w="2347"/>
        <w:gridCol w:w="2602"/>
        <w:gridCol w:w="2280"/>
        <w:gridCol w:w="2518"/>
      </w:tblGrid>
      <w:tr>
        <w:trPr/>
        <w:tc>
          <w:tcPr>
            <w:tcW w:w="246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Дидактическая задача</w:t>
            </w:r>
          </w:p>
        </w:tc>
        <w:tc>
          <w:tcPr>
            <w:tcW w:w="23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Игровая задача</w:t>
            </w:r>
          </w:p>
        </w:tc>
        <w:tc>
          <w:tcPr>
            <w:tcW w:w="23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Игровое правило</w:t>
            </w:r>
          </w:p>
        </w:tc>
        <w:tc>
          <w:tcPr>
            <w:tcW w:w="26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Приемы интеллектуальной активностид</w:t>
            </w:r>
          </w:p>
        </w:tc>
        <w:tc>
          <w:tcPr>
            <w:tcW w:w="228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Игровые действия</w:t>
            </w:r>
          </w:p>
        </w:tc>
        <w:tc>
          <w:tcPr>
            <w:tcW w:w="251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Игровой продукт</w:t>
            </w:r>
          </w:p>
        </w:tc>
      </w:tr>
      <w:tr>
        <w:trPr/>
        <w:tc>
          <w:tcPr>
            <w:tcW w:w="246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Cs w:val="24"/>
              </w:rPr>
            </w:r>
          </w:p>
          <w:p>
            <w:pPr>
              <w:pStyle w:val="Style18"/>
              <w:widowControl/>
              <w:spacing w:lineRule="atLeast" w:line="250" w:before="0" w:after="15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cs="Times New Roman" w:ascii="Lora;serif" w:hAnsi="Lora;serif"/>
                <w:b w:val="false"/>
                <w:bCs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>Закрепить представления о том, что у культурных растений есть надземные и подземные части, которые могут быть съедобными и несъедобными.</w:t>
            </w:r>
          </w:p>
        </w:tc>
        <w:tc>
          <w:tcPr>
            <w:tcW w:w="2347" w:type="dxa"/>
            <w:tcBorders/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cs="Times New Roman" w:ascii="Lora;serif" w:hAnsi="Lora;serif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>Задача воспитателя</w:t>
            </w:r>
            <w:r>
              <w:rPr>
                <w:rFonts w:cs="Times New Roman" w:ascii="Lora;serif" w:hAnsi="Lora;serif"/>
                <w:b w:val="false"/>
                <w:bCs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 xml:space="preserve"> — объяснить дошкольникам, что у каждого огородного растения есть надземная часть, называемая «вершком», и подземная — это «корешок». 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Lora;serif" w:hAnsi="Lora;serif" w:cs="Times New Roman"/>
                <w:b w:val="false"/>
                <w:b w:val="false"/>
                <w:bCs/>
                <w:i w:val="false"/>
                <w:i w:val="false"/>
                <w:caps w:val="false"/>
                <w:smallCaps w:val="false"/>
                <w:color w:val="000000"/>
                <w:spacing w:val="0"/>
              </w:rPr>
            </w:pPr>
            <w:r>
              <w:rPr>
                <w:rFonts w:cs="Times New Roman" w:ascii="Lora;serif" w:hAnsi="Lora;serif"/>
                <w:b w:val="false"/>
                <w:bCs/>
                <w:i w:val="false"/>
                <w:caps w:val="false"/>
                <w:smallCaps w:val="false"/>
                <w:color w:val="000000"/>
                <w:spacing w:val="0"/>
              </w:rPr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Lora;serif" w:hAnsi="Lora;serif" w:cs="Times New Roman"/>
                <w:b w:val="false"/>
                <w:b w:val="false"/>
                <w:bCs/>
                <w:i w:val="false"/>
                <w:i w:val="false"/>
                <w:caps w:val="false"/>
                <w:smallCaps w:val="false"/>
                <w:color w:val="000000"/>
                <w:spacing w:val="0"/>
              </w:rPr>
            </w:pPr>
            <w:r>
              <w:rPr>
                <w:rFonts w:cs="Times New Roman" w:ascii="Lora;serif" w:hAnsi="Lora;serif"/>
                <w:b w:val="false"/>
                <w:bCs/>
                <w:i w:val="false"/>
                <w:caps w:val="false"/>
                <w:smallCaps w:val="false"/>
                <w:color w:val="000000"/>
                <w:spacing w:val="0"/>
              </w:rPr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cs="Times New Roman" w:ascii="Lora;serif" w:hAnsi="Lora;serif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>Задача детей:</w:t>
            </w:r>
            <w:r>
              <w:rPr>
                <w:rFonts w:cs="Times New Roman" w:ascii="Lora;serif" w:hAnsi="Lora;serif"/>
                <w:b w:val="false"/>
                <w:bCs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 xml:space="preserve"> должны  соединить половинки карточек, чтобы получилось целое изображение Правильно назвать части и растения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Lora;serif" w:hAnsi="Lora;serif" w:cs="Times New Roman"/>
                <w:b w:val="false"/>
                <w:b w:val="false"/>
                <w:bCs/>
                <w:i w:val="false"/>
                <w:i w:val="false"/>
                <w:caps w:val="false"/>
                <w:smallCaps w:val="false"/>
                <w:color w:val="000000"/>
                <w:spacing w:val="0"/>
              </w:rPr>
            </w:pPr>
            <w:r>
              <w:rPr>
                <w:rFonts w:cs="Times New Roman" w:ascii="Lora;serif" w:hAnsi="Lora;serif"/>
                <w:b w:val="false"/>
                <w:bCs/>
                <w:i w:val="false"/>
                <w:caps w:val="false"/>
                <w:smallCaps w:val="false"/>
                <w:color w:val="000000"/>
                <w:spacing w:val="0"/>
              </w:rPr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Lora;serif" w:hAnsi="Lora;serif" w:cs="Times New Roman"/>
                <w:b w:val="false"/>
                <w:b w:val="false"/>
                <w:bCs/>
                <w:i w:val="false"/>
                <w:i w:val="false"/>
                <w:caps w:val="false"/>
                <w:smallCaps w:val="false"/>
                <w:color w:val="000000"/>
                <w:spacing w:val="0"/>
              </w:rPr>
            </w:pPr>
            <w:r>
              <w:rPr>
                <w:rFonts w:cs="Times New Roman" w:ascii="Lora;serif" w:hAnsi="Lora;serif"/>
                <w:b w:val="false"/>
                <w:bCs/>
                <w:i w:val="false"/>
                <w:caps w:val="false"/>
                <w:smallCaps w:val="false"/>
                <w:color w:val="000000"/>
                <w:spacing w:val="0"/>
              </w:rPr>
            </w:r>
          </w:p>
        </w:tc>
        <w:tc>
          <w:tcPr>
            <w:tcW w:w="23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rFonts w:cs="Times New Roman" w:ascii="Verdana;Geneva;Arial;Helvetica;sans-serif" w:hAnsi="Verdana;Geneva;Arial;Helvetica;sans-serif"/>
                <w:b w:val="false"/>
                <w:bCs/>
                <w:i w:val="false"/>
                <w:caps w:val="false"/>
                <w:smallCaps w:val="false"/>
                <w:color w:val="303F50"/>
                <w:spacing w:val="0"/>
                <w:sz w:val="20"/>
                <w:szCs w:val="20"/>
              </w:rPr>
              <w:t>Педагог называет место расположения овоща ()Кто быстрее нашел тот и звонит в колокольчик и называет овощ далее нужно соединить карточку с изображением «корешка» и карточку с изображением «вершка». Чтобы получился целый овощ.</w:t>
            </w: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22"/>
                <w:szCs w:val="22"/>
              </w:rPr>
            </w:pPr>
            <w:r>
              <w:rPr>
                <w:rFonts w:cs="Times New Roman" w:ascii="YS Text;Arial;Helvetica;sans-serif" w:hAnsi="YS Text;Arial;Helvetica;sans-serif"/>
                <w:b w:val="false"/>
                <w:bCs/>
                <w:i w:val="false"/>
                <w:caps w:val="false"/>
                <w:smallCaps w:val="false"/>
                <w:color w:val="333333"/>
                <w:spacing w:val="0"/>
                <w:sz w:val="22"/>
                <w:szCs w:val="22"/>
              </w:rPr>
              <w:t xml:space="preserve"> </w:t>
            </w:r>
            <w:r>
              <w:rPr>
                <w:rFonts w:cs="Times New Roman" w:ascii="YS Text;Arial;Helvetica;sans-serif" w:hAnsi="YS Text;Arial;Helvetica;sans-serif"/>
                <w:b w:val="false"/>
                <w:bCs/>
                <w:i w:val="false"/>
                <w:caps w:val="false"/>
                <w:smallCaps w:val="false"/>
                <w:color w:val="333333"/>
                <w:spacing w:val="0"/>
                <w:sz w:val="22"/>
                <w:szCs w:val="22"/>
              </w:rPr>
              <w:t xml:space="preserve">восприятие, внимание, память, пространственные представления и воображение; умения находить зависимости и закономерности, классифицировать и систематизировать материал, создавать новые </w:t>
            </w:r>
          </w:p>
        </w:tc>
        <w:tc>
          <w:tcPr>
            <w:tcW w:w="2280" w:type="dxa"/>
            <w:tcBorders/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ascii="Lora;serif" w:hAnsi="Lora;serif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>Педагог раскладывает перед воспитанниками картинки. Дети их внимательно рассматривают, называют овощи, которые видят перед собой.  Загадывает место где лежит овощ.(</w:t>
            </w:r>
            <w:r>
              <w:rPr>
                <w:rFonts w:cs="Times New Roman" w:ascii="Verdana;Geneva;Arial;Helvetica;sans-serif" w:hAnsi="Verdana;Geneva;Arial;Helvetica;sans-serif"/>
                <w:b w:val="false"/>
                <w:bCs/>
                <w:i w:val="false"/>
                <w:caps w:val="false"/>
                <w:smallCaps w:val="false"/>
                <w:color w:val="303F50"/>
                <w:spacing w:val="0"/>
                <w:sz w:val="20"/>
                <w:szCs w:val="20"/>
              </w:rPr>
              <w:t>справа ,слева,снизу ,сверху,между,рядом)</w:t>
            </w:r>
          </w:p>
          <w:p>
            <w:pPr>
              <w:pStyle w:val="Style18"/>
              <w:widowControl/>
              <w:spacing w:lineRule="atLeast" w:line="250" w:before="0" w:after="15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ascii="Lora;serif" w:hAnsi="Lora;serif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>Когда воспитанники научатся ловко складывать овощи, игру можно сделать соревновательной. Побеждает тот, кто первым отыщет «вершки» для своих «корешков».</w:t>
            </w:r>
          </w:p>
          <w:p>
            <w:pPr>
              <w:pStyle w:val="Style18"/>
              <w:widowControl/>
              <w:spacing w:lineRule="auto" w:line="240" w:before="0" w:after="140"/>
              <w:ind w:left="0" w:right="0" w:hanging="0"/>
              <w:jc w:val="left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251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456055" cy="1090930"/>
                  <wp:effectExtent l="0" t="0" r="0" b="0"/>
                  <wp:wrapSquare wrapText="largest"/>
                  <wp:docPr id="4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09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Start w:id="3" w:name="_Hlk95085300"/>
            <w:bookmarkStart w:id="4" w:name="_Hlk95085300"/>
            <w:bookmarkEnd w:id="4"/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Style18"/>
        <w:widowControl/>
        <w:ind w:left="0" w:right="0" w:hanging="0"/>
        <w:jc w:val="left"/>
        <w:rPr/>
      </w:pPr>
      <w:r>
        <w:rPr>
          <w:rFonts w:ascii="Lora;serif" w:hAnsi="Lora;serif"/>
          <w:b w:val="false"/>
          <w:i w:val="false"/>
          <w:caps w:val="false"/>
          <w:smallCaps w:val="false"/>
          <w:color w:val="000000"/>
          <w:spacing w:val="0"/>
          <w:sz w:val="15"/>
        </w:rPr>
        <w:br/>
      </w:r>
    </w:p>
    <w:p>
      <w:pPr>
        <w:pStyle w:val="Style18"/>
        <w:widowControl/>
        <w:ind w:left="0" w:right="0" w:hanging="0"/>
        <w:jc w:val="left"/>
        <w:rPr>
          <w:rFonts w:ascii="Lora;serif" w:hAnsi="Lora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5"/>
        </w:rPr>
      </w:pPr>
      <w:r>
        <w:rPr>
          <w:rFonts w:ascii="Lora;serif" w:hAnsi="Lora;serif"/>
          <w:b w:val="false"/>
          <w:i w:val="false"/>
          <w:caps w:val="false"/>
          <w:smallCaps w:val="false"/>
          <w:color w:val="000000"/>
          <w:spacing w:val="0"/>
          <w:sz w:val="15"/>
        </w:rPr>
      </w:r>
    </w:p>
    <w:p>
      <w:pPr>
        <w:pStyle w:val="Style18"/>
        <w:widowControl/>
        <w:ind w:left="0" w:right="0" w:hanging="0"/>
        <w:jc w:val="left"/>
        <w:rPr>
          <w:rFonts w:ascii="Lora;serif" w:hAnsi="Lora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5"/>
        </w:rPr>
      </w:pPr>
      <w:r>
        <w:rPr>
          <w:rFonts w:ascii="Lora;serif" w:hAnsi="Lora;serif"/>
          <w:b w:val="false"/>
          <w:i w:val="false"/>
          <w:caps w:val="false"/>
          <w:smallCaps w:val="false"/>
          <w:color w:val="000000"/>
          <w:spacing w:val="0"/>
          <w:sz w:val="15"/>
        </w:rPr>
      </w:r>
    </w:p>
    <w:p>
      <w:pPr>
        <w:pStyle w:val="Normal"/>
        <w:spacing w:lineRule="auto" w:line="240" w:before="0" w:after="160"/>
        <w:ind w:firstLine="709"/>
        <w:contextualSpacing/>
        <w:jc w:val="both"/>
        <w:rPr/>
      </w:pPr>
      <w:r>
        <w:rPr/>
      </w:r>
    </w:p>
    <w:sectPr>
      <w:headerReference w:type="default" r:id="rId9"/>
      <w:type w:val="nextPage"/>
      <w:pgSz w:orient="landscape" w:w="16838" w:h="11906"/>
      <w:pgMar w:left="1134" w:right="1134" w:header="709" w:top="851" w:footer="0" w:bottom="170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swiss"/>
    <w:pitch w:val="variable"/>
  </w:font>
  <w:font w:name="OpenSymbol">
    <w:altName w:val="Arial Unicode MS"/>
    <w:charset w:val="cc"/>
    <w:family w:val="roman"/>
    <w:pitch w:val="variable"/>
  </w:font>
  <w:font w:name="Lora">
    <w:altName w:val="serif"/>
    <w:charset w:val="cc"/>
    <w:family w:val="roman"/>
    <w:pitch w:val="variable"/>
  </w:font>
  <w:font w:name="Arial">
    <w:charset w:val="cc"/>
    <w:family w:val="roman"/>
    <w:pitch w:val="variable"/>
  </w:font>
  <w:font w:name="Roboto">
    <w:altName w:val="RobotoDraft"/>
    <w:charset w:val="cc"/>
    <w:family w:val="roman"/>
    <w:pitch w:val="variable"/>
  </w:font>
  <w:font w:name="Verdana">
    <w:altName w:val="Geneva"/>
    <w:charset w:val="cc"/>
    <w:family w:val="roman"/>
    <w:pitch w:val="variable"/>
  </w:font>
  <w:font w:name="YS Text">
    <w:altName w:val="Arial"/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930311482"/>
    </w:sdtPr>
    <w:sdtContent>
      <w:p>
        <w:pPr>
          <w:pStyle w:val="Style22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8</w:t>
        </w:r>
        <w:r>
          <w:rPr/>
          <w:fldChar w:fldCharType="end"/>
        </w:r>
      </w:p>
    </w:sdtContent>
  </w:sdt>
  <w:p>
    <w:pPr>
      <w:pStyle w:val="Style22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2"/>
      <w:numFmt w:val="none"/>
      <w:suff w:val="nothing"/>
      <w:lvlText w:val=""/>
      <w:lvlJc w:val="left"/>
      <w:pPr>
        <w:ind w:left="0" w:hanging="0"/>
      </w:pPr>
    </w:lvl>
    <w:lvl w:ilvl="2">
      <w:start w:val="1"/>
      <w:pStyle w:val="3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76c91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2">
    <w:name w:val="Heading 2"/>
    <w:basedOn w:val="Style17"/>
    <w:next w:val="Style18"/>
    <w:qFormat/>
    <w:pPr>
      <w:numPr>
        <w:ilvl w:val="1"/>
        <w:numId w:val="1"/>
      </w:numPr>
      <w:spacing w:before="200" w:after="120"/>
      <w:outlineLvl w:val="1"/>
    </w:pPr>
    <w:rPr>
      <w:rFonts w:ascii="Times New Roman" w:hAnsi="Times New Roman" w:eastAsia="Segoe UI" w:cs="Tahoma"/>
      <w:b/>
      <w:bCs/>
      <w:sz w:val="36"/>
      <w:szCs w:val="36"/>
    </w:rPr>
  </w:style>
  <w:style w:type="paragraph" w:styleId="3">
    <w:name w:val="Heading 3"/>
    <w:basedOn w:val="Style17"/>
    <w:next w:val="Style18"/>
    <w:qFormat/>
    <w:pPr>
      <w:numPr>
        <w:ilvl w:val="2"/>
        <w:numId w:val="1"/>
      </w:numPr>
      <w:spacing w:before="140" w:after="120"/>
      <w:outlineLvl w:val="2"/>
    </w:pPr>
    <w:rPr>
      <w:rFonts w:ascii="Times New Roman" w:hAnsi="Times New Roman" w:eastAsia="Segoe UI" w:cs="Tahoma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Верхний колонтитул Знак"/>
    <w:basedOn w:val="DefaultParagraphFont"/>
    <w:link w:val="a5"/>
    <w:uiPriority w:val="99"/>
    <w:qFormat/>
    <w:rsid w:val="00e33fbe"/>
    <w:rPr/>
  </w:style>
  <w:style w:type="character" w:styleId="Style13" w:customStyle="1">
    <w:name w:val="Нижний колонтитул Знак"/>
    <w:basedOn w:val="DefaultParagraphFont"/>
    <w:link w:val="a7"/>
    <w:uiPriority w:val="99"/>
    <w:qFormat/>
    <w:rsid w:val="00e33fbe"/>
    <w:rPr/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character" w:styleId="Style15">
    <w:name w:val="Маркеры списка"/>
    <w:qFormat/>
    <w:rPr>
      <w:rFonts w:ascii="OpenSymbol" w:hAnsi="OpenSymbol" w:eastAsia="OpenSymbol" w:cs="OpenSymbol"/>
    </w:rPr>
  </w:style>
  <w:style w:type="character" w:styleId="ListLabel1">
    <w:name w:val="ListLabel 1"/>
    <w:qFormat/>
    <w:rPr>
      <w:rFonts w:ascii="Lora;serif" w:hAnsi="Lora;serif" w:cs="OpenSymbol"/>
      <w:b w:val="false"/>
      <w:sz w:val="15"/>
    </w:rPr>
  </w:style>
  <w:style w:type="character" w:styleId="ListLabel2">
    <w:name w:val="ListLabel 2"/>
    <w:qFormat/>
    <w:rPr>
      <w:rFonts w:cs="OpenSymbol"/>
    </w:rPr>
  </w:style>
  <w:style w:type="character" w:styleId="ListLabel3">
    <w:name w:val="ListLabel 3"/>
    <w:qFormat/>
    <w:rPr>
      <w:rFonts w:cs="OpenSymbol"/>
    </w:rPr>
  </w:style>
  <w:style w:type="character" w:styleId="ListLabel4">
    <w:name w:val="ListLabel 4"/>
    <w:qFormat/>
    <w:rPr>
      <w:rFonts w:cs="OpenSymbol"/>
    </w:rPr>
  </w:style>
  <w:style w:type="character" w:styleId="ListLabel5">
    <w:name w:val="ListLabel 5"/>
    <w:qFormat/>
    <w:rPr>
      <w:rFonts w:cs="OpenSymbol"/>
    </w:rPr>
  </w:style>
  <w:style w:type="character" w:styleId="ListLabel6">
    <w:name w:val="ListLabel 6"/>
    <w:qFormat/>
    <w:rPr>
      <w:rFonts w:cs="OpenSymbol"/>
    </w:rPr>
  </w:style>
  <w:style w:type="character" w:styleId="ListLabel7">
    <w:name w:val="ListLabel 7"/>
    <w:qFormat/>
    <w:rPr>
      <w:rFonts w:cs="OpenSymbol"/>
    </w:rPr>
  </w:style>
  <w:style w:type="character" w:styleId="ListLabel8">
    <w:name w:val="ListLabel 8"/>
    <w:qFormat/>
    <w:rPr>
      <w:rFonts w:cs="OpenSymbol"/>
    </w:rPr>
  </w:style>
  <w:style w:type="character" w:styleId="ListLabel9">
    <w:name w:val="ListLabel 9"/>
    <w:qFormat/>
    <w:rPr>
      <w:rFonts w:cs="OpenSymbol"/>
    </w:rPr>
  </w:style>
  <w:style w:type="character" w:styleId="ListLabel10">
    <w:name w:val="ListLabel 10"/>
    <w:qFormat/>
    <w:rPr>
      <w:rFonts w:ascii="Lora;serif" w:hAnsi="Lora;serif"/>
      <w:b w:val="false"/>
      <w:i w:val="false"/>
      <w:caps w:val="false"/>
      <w:smallCaps w:val="false"/>
      <w:strike w:val="false"/>
      <w:dstrike w:val="false"/>
      <w:color w:val="337AB7"/>
      <w:spacing w:val="0"/>
      <w:sz w:val="15"/>
      <w:u w:val="none"/>
      <w:effect w:val="none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Style16">
    <w:name w:val="Выделение жирным"/>
    <w:qFormat/>
    <w:rPr>
      <w:b/>
      <w:bCs/>
    </w:rPr>
  </w:style>
  <w:style w:type="character" w:styleId="ListLabel16">
    <w:name w:val="ListLabel 16"/>
    <w:qFormat/>
    <w:rPr>
      <w:rFonts w:ascii="Calibri" w:hAnsi="Calibri" w:cs="Symbol"/>
    </w:rPr>
  </w:style>
  <w:style w:type="character" w:styleId="ListLabel17">
    <w:name w:val="ListLabel 17"/>
    <w:qFormat/>
    <w:rPr>
      <w:rFonts w:cs="OpenSymbol"/>
    </w:rPr>
  </w:style>
  <w:style w:type="character" w:styleId="ListLabel18">
    <w:name w:val="ListLabel 18"/>
    <w:qFormat/>
    <w:rPr>
      <w:rFonts w:cs="Wingdings"/>
    </w:rPr>
  </w:style>
  <w:style w:type="character" w:styleId="ListLabel19">
    <w:name w:val="ListLabel 19"/>
    <w:qFormat/>
    <w:rPr>
      <w:rFonts w:cs="Symbol"/>
    </w:rPr>
  </w:style>
  <w:style w:type="character" w:styleId="ListLabel20">
    <w:name w:val="ListLabel 20"/>
    <w:qFormat/>
    <w:rPr>
      <w:rFonts w:cs="OpenSymbol"/>
    </w:rPr>
  </w:style>
  <w:style w:type="character" w:styleId="ListLabel21">
    <w:name w:val="ListLabel 21"/>
    <w:qFormat/>
    <w:rPr>
      <w:rFonts w:cs="Wingdings"/>
    </w:rPr>
  </w:style>
  <w:style w:type="character" w:styleId="ListLabel22">
    <w:name w:val="ListLabel 22"/>
    <w:qFormat/>
    <w:rPr>
      <w:rFonts w:cs="Symbol"/>
    </w:rPr>
  </w:style>
  <w:style w:type="character" w:styleId="ListLabel23">
    <w:name w:val="ListLabel 23"/>
    <w:qFormat/>
    <w:rPr>
      <w:rFonts w:cs="OpenSymbol"/>
    </w:rPr>
  </w:style>
  <w:style w:type="character" w:styleId="ListLabel24">
    <w:name w:val="ListLabel 24"/>
    <w:qFormat/>
    <w:rPr>
      <w:rFonts w:cs="Wingdings"/>
    </w:rPr>
  </w:style>
  <w:style w:type="character" w:styleId="ListLabel25">
    <w:name w:val="ListLabel 25"/>
    <w:qFormat/>
    <w:rPr>
      <w:rFonts w:ascii="Calibri" w:hAnsi="Calibri" w:cs="Symbol"/>
    </w:rPr>
  </w:style>
  <w:style w:type="character" w:styleId="ListLabel26">
    <w:name w:val="ListLabel 26"/>
    <w:qFormat/>
    <w:rPr>
      <w:rFonts w:cs="OpenSymbol"/>
    </w:rPr>
  </w:style>
  <w:style w:type="character" w:styleId="ListLabel27">
    <w:name w:val="ListLabel 27"/>
    <w:qFormat/>
    <w:rPr>
      <w:rFonts w:cs="Wingdings"/>
    </w:rPr>
  </w:style>
  <w:style w:type="character" w:styleId="ListLabel28">
    <w:name w:val="ListLabel 28"/>
    <w:qFormat/>
    <w:rPr>
      <w:rFonts w:cs="Symbol"/>
    </w:rPr>
  </w:style>
  <w:style w:type="character" w:styleId="ListLabel29">
    <w:name w:val="ListLabel 29"/>
    <w:qFormat/>
    <w:rPr>
      <w:rFonts w:cs="OpenSymbol"/>
    </w:rPr>
  </w:style>
  <w:style w:type="character" w:styleId="ListLabel30">
    <w:name w:val="ListLabel 30"/>
    <w:qFormat/>
    <w:rPr>
      <w:rFonts w:cs="Wingdings"/>
    </w:rPr>
  </w:style>
  <w:style w:type="character" w:styleId="ListLabel31">
    <w:name w:val="ListLabel 31"/>
    <w:qFormat/>
    <w:rPr>
      <w:rFonts w:cs="Symbol"/>
    </w:rPr>
  </w:style>
  <w:style w:type="character" w:styleId="ListLabel32">
    <w:name w:val="ListLabel 32"/>
    <w:qFormat/>
    <w:rPr>
      <w:rFonts w:cs="OpenSymbol"/>
    </w:rPr>
  </w:style>
  <w:style w:type="character" w:styleId="ListLabel33">
    <w:name w:val="ListLabel 33"/>
    <w:qFormat/>
    <w:rPr>
      <w:rFonts w:cs="Wingdings"/>
    </w:rPr>
  </w:style>
  <w:style w:type="character" w:styleId="ListLabel34">
    <w:name w:val="ListLabel 34"/>
    <w:qFormat/>
    <w:rPr>
      <w:rFonts w:ascii="Calibri" w:hAnsi="Calibri" w:cs="Symbol"/>
    </w:rPr>
  </w:style>
  <w:style w:type="character" w:styleId="ListLabel35">
    <w:name w:val="ListLabel 35"/>
    <w:qFormat/>
    <w:rPr>
      <w:rFonts w:cs="Courier New"/>
      <w:b w:val="false"/>
      <w:i w:val="false"/>
      <w:caps w:val="false"/>
      <w:smallCaps w:val="false"/>
      <w:strike w:val="false"/>
      <w:dstrike w:val="false"/>
      <w:color w:val="337AB7"/>
      <w:spacing w:val="0"/>
      <w:sz w:val="15"/>
      <w:u w:val="none"/>
      <w:effect w:val="none"/>
    </w:rPr>
  </w:style>
  <w:style w:type="character" w:styleId="ListLabel36">
    <w:name w:val="ListLabel 36"/>
    <w:qFormat/>
    <w:rPr>
      <w:rFonts w:cs="Wingdings"/>
    </w:rPr>
  </w:style>
  <w:style w:type="character" w:styleId="ListLabel37">
    <w:name w:val="ListLabel 37"/>
    <w:qFormat/>
    <w:rPr>
      <w:rFonts w:cs="Symbol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Wingdings"/>
    </w:rPr>
  </w:style>
  <w:style w:type="character" w:styleId="ListLabel40">
    <w:name w:val="ListLabel 40"/>
    <w:qFormat/>
    <w:rPr>
      <w:rFonts w:cs="Symbol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Wingdings"/>
    </w:rPr>
  </w:style>
  <w:style w:type="character" w:styleId="ListLabel43">
    <w:name w:val="ListLabel 43"/>
    <w:qFormat/>
    <w:rPr>
      <w:rFonts w:ascii="Calibri" w:hAnsi="Calibri" w:cs="Symbol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Wingdings"/>
    </w:rPr>
  </w:style>
  <w:style w:type="character" w:styleId="ListLabel46">
    <w:name w:val="ListLabel 46"/>
    <w:qFormat/>
    <w:rPr>
      <w:rFonts w:cs="Symbol"/>
    </w:rPr>
  </w:style>
  <w:style w:type="character" w:styleId="ListLabel47">
    <w:name w:val="ListLabel 47"/>
    <w:qFormat/>
    <w:rPr>
      <w:rFonts w:cs="Courier New"/>
    </w:rPr>
  </w:style>
  <w:style w:type="character" w:styleId="ListLabel48">
    <w:name w:val="ListLabel 48"/>
    <w:qFormat/>
    <w:rPr>
      <w:rFonts w:cs="Wingdings"/>
    </w:rPr>
  </w:style>
  <w:style w:type="character" w:styleId="ListLabel49">
    <w:name w:val="ListLabel 49"/>
    <w:qFormat/>
    <w:rPr>
      <w:rFonts w:cs="Symbol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rFonts w:cs="Wingdings"/>
    </w:rPr>
  </w:style>
  <w:style w:type="character" w:styleId="ListLabel52">
    <w:name w:val="ListLabel 52"/>
    <w:qFormat/>
    <w:rPr>
      <w:rFonts w:ascii="Calibri" w:hAnsi="Calibri" w:cs="Symbol"/>
    </w:rPr>
  </w:style>
  <w:style w:type="character" w:styleId="ListLabel53">
    <w:name w:val="ListLabel 53"/>
    <w:qFormat/>
    <w:rPr>
      <w:rFonts w:cs="OpenSymbol"/>
    </w:rPr>
  </w:style>
  <w:style w:type="character" w:styleId="ListLabel54">
    <w:name w:val="ListLabel 54"/>
    <w:qFormat/>
    <w:rPr>
      <w:rFonts w:cs="Wingdings"/>
    </w:rPr>
  </w:style>
  <w:style w:type="character" w:styleId="ListLabel55">
    <w:name w:val="ListLabel 55"/>
    <w:qFormat/>
    <w:rPr>
      <w:rFonts w:cs="Symbol"/>
    </w:rPr>
  </w:style>
  <w:style w:type="character" w:styleId="ListLabel56">
    <w:name w:val="ListLabel 56"/>
    <w:qFormat/>
    <w:rPr>
      <w:rFonts w:cs="OpenSymbol"/>
    </w:rPr>
  </w:style>
  <w:style w:type="character" w:styleId="ListLabel57">
    <w:name w:val="ListLabel 57"/>
    <w:qFormat/>
    <w:rPr>
      <w:rFonts w:cs="Wingdings"/>
    </w:rPr>
  </w:style>
  <w:style w:type="character" w:styleId="ListLabel58">
    <w:name w:val="ListLabel 58"/>
    <w:qFormat/>
    <w:rPr>
      <w:rFonts w:cs="Symbol"/>
    </w:rPr>
  </w:style>
  <w:style w:type="character" w:styleId="ListLabel59">
    <w:name w:val="ListLabel 59"/>
    <w:qFormat/>
    <w:rPr>
      <w:rFonts w:cs="OpenSymbol"/>
    </w:rPr>
  </w:style>
  <w:style w:type="character" w:styleId="ListLabel60">
    <w:name w:val="ListLabel 60"/>
    <w:qFormat/>
    <w:rPr>
      <w:rFonts w:cs="Wingdings"/>
    </w:rPr>
  </w:style>
  <w:style w:type="character" w:styleId="ListLabel61">
    <w:name w:val="ListLabel 61"/>
    <w:qFormat/>
    <w:rPr>
      <w:rFonts w:ascii="Calibri" w:hAnsi="Calibri" w:cs="Symbol"/>
    </w:rPr>
  </w:style>
  <w:style w:type="character" w:styleId="ListLabel62">
    <w:name w:val="ListLabel 62"/>
    <w:qFormat/>
    <w:rPr>
      <w:rFonts w:cs="OpenSymbol"/>
    </w:rPr>
  </w:style>
  <w:style w:type="character" w:styleId="ListLabel63">
    <w:name w:val="ListLabel 63"/>
    <w:qFormat/>
    <w:rPr>
      <w:rFonts w:cs="Wingdings"/>
    </w:rPr>
  </w:style>
  <w:style w:type="character" w:styleId="ListLabel64">
    <w:name w:val="ListLabel 64"/>
    <w:qFormat/>
    <w:rPr>
      <w:rFonts w:cs="Symbol"/>
    </w:rPr>
  </w:style>
  <w:style w:type="character" w:styleId="ListLabel65">
    <w:name w:val="ListLabel 65"/>
    <w:qFormat/>
    <w:rPr>
      <w:rFonts w:cs="OpenSymbol"/>
    </w:rPr>
  </w:style>
  <w:style w:type="character" w:styleId="ListLabel66">
    <w:name w:val="ListLabel 66"/>
    <w:qFormat/>
    <w:rPr>
      <w:rFonts w:cs="Wingdings"/>
    </w:rPr>
  </w:style>
  <w:style w:type="character" w:styleId="ListLabel67">
    <w:name w:val="ListLabel 67"/>
    <w:qFormat/>
    <w:rPr>
      <w:rFonts w:cs="Symbol"/>
    </w:rPr>
  </w:style>
  <w:style w:type="character" w:styleId="ListLabel68">
    <w:name w:val="ListLabel 68"/>
    <w:qFormat/>
    <w:rPr>
      <w:rFonts w:cs="OpenSymbol"/>
    </w:rPr>
  </w:style>
  <w:style w:type="character" w:styleId="ListLabel69">
    <w:name w:val="ListLabel 69"/>
    <w:qFormat/>
    <w:rPr>
      <w:rFonts w:cs="Wingdings"/>
    </w:rPr>
  </w:style>
  <w:style w:type="character" w:styleId="ListLabel70">
    <w:name w:val="ListLabel 70"/>
    <w:qFormat/>
    <w:rPr>
      <w:rFonts w:ascii="Calibri" w:hAnsi="Calibri" w:cs="Symbol"/>
    </w:rPr>
  </w:style>
  <w:style w:type="character" w:styleId="ListLabel71">
    <w:name w:val="ListLabel 71"/>
    <w:qFormat/>
    <w:rPr>
      <w:rFonts w:cs="Courier New"/>
      <w:b w:val="false"/>
      <w:i w:val="false"/>
      <w:caps w:val="false"/>
      <w:smallCaps w:val="false"/>
      <w:strike w:val="false"/>
      <w:dstrike w:val="false"/>
      <w:color w:val="337AB7"/>
      <w:spacing w:val="0"/>
      <w:sz w:val="15"/>
      <w:u w:val="none"/>
      <w:effect w:val="none"/>
    </w:rPr>
  </w:style>
  <w:style w:type="character" w:styleId="ListLabel72">
    <w:name w:val="ListLabel 72"/>
    <w:qFormat/>
    <w:rPr>
      <w:rFonts w:cs="Wingdings"/>
    </w:rPr>
  </w:style>
  <w:style w:type="character" w:styleId="ListLabel73">
    <w:name w:val="ListLabel 73"/>
    <w:qFormat/>
    <w:rPr>
      <w:rFonts w:cs="Symbol"/>
    </w:rPr>
  </w:style>
  <w:style w:type="character" w:styleId="ListLabel74">
    <w:name w:val="ListLabel 74"/>
    <w:qFormat/>
    <w:rPr>
      <w:rFonts w:cs="Courier New"/>
    </w:rPr>
  </w:style>
  <w:style w:type="character" w:styleId="ListLabel75">
    <w:name w:val="ListLabel 75"/>
    <w:qFormat/>
    <w:rPr>
      <w:rFonts w:cs="Wingdings"/>
    </w:rPr>
  </w:style>
  <w:style w:type="character" w:styleId="ListLabel76">
    <w:name w:val="ListLabel 76"/>
    <w:qFormat/>
    <w:rPr>
      <w:rFonts w:cs="Symbol"/>
    </w:rPr>
  </w:style>
  <w:style w:type="character" w:styleId="ListLabel77">
    <w:name w:val="ListLabel 77"/>
    <w:qFormat/>
    <w:rPr>
      <w:rFonts w:cs="Courier New"/>
    </w:rPr>
  </w:style>
  <w:style w:type="character" w:styleId="ListLabel78">
    <w:name w:val="ListLabel 78"/>
    <w:qFormat/>
    <w:rPr>
      <w:rFonts w:cs="Wingdings"/>
    </w:rPr>
  </w:style>
  <w:style w:type="character" w:styleId="ListLabel79">
    <w:name w:val="ListLabel 79"/>
    <w:qFormat/>
    <w:rPr>
      <w:rFonts w:ascii="Calibri" w:hAnsi="Calibri" w:cs="Symbol"/>
    </w:rPr>
  </w:style>
  <w:style w:type="character" w:styleId="ListLabel80">
    <w:name w:val="ListLabel 80"/>
    <w:qFormat/>
    <w:rPr>
      <w:rFonts w:cs="Courier New"/>
    </w:rPr>
  </w:style>
  <w:style w:type="character" w:styleId="ListLabel81">
    <w:name w:val="ListLabel 81"/>
    <w:qFormat/>
    <w:rPr>
      <w:rFonts w:cs="Wingdings"/>
    </w:rPr>
  </w:style>
  <w:style w:type="character" w:styleId="ListLabel82">
    <w:name w:val="ListLabel 82"/>
    <w:qFormat/>
    <w:rPr>
      <w:rFonts w:cs="Symbol"/>
    </w:rPr>
  </w:style>
  <w:style w:type="character" w:styleId="ListLabel83">
    <w:name w:val="ListLabel 83"/>
    <w:qFormat/>
    <w:rPr>
      <w:rFonts w:cs="Courier New"/>
    </w:rPr>
  </w:style>
  <w:style w:type="character" w:styleId="ListLabel84">
    <w:name w:val="ListLabel 84"/>
    <w:qFormat/>
    <w:rPr>
      <w:rFonts w:cs="Wingdings"/>
    </w:rPr>
  </w:style>
  <w:style w:type="character" w:styleId="ListLabel85">
    <w:name w:val="ListLabel 85"/>
    <w:qFormat/>
    <w:rPr>
      <w:rFonts w:cs="Symbol"/>
    </w:rPr>
  </w:style>
  <w:style w:type="character" w:styleId="ListLabel86">
    <w:name w:val="ListLabel 86"/>
    <w:qFormat/>
    <w:rPr>
      <w:rFonts w:cs="Courier New"/>
    </w:rPr>
  </w:style>
  <w:style w:type="character" w:styleId="ListLabel87">
    <w:name w:val="ListLabel 87"/>
    <w:qFormat/>
    <w:rPr>
      <w:rFonts w:cs="Wingdings"/>
    </w:rPr>
  </w:style>
  <w:style w:type="character" w:styleId="ListLabel88">
    <w:name w:val="ListLabel 88"/>
    <w:qFormat/>
    <w:rPr>
      <w:rFonts w:ascii="Calibri" w:hAnsi="Calibri" w:cs="Symbol"/>
    </w:rPr>
  </w:style>
  <w:style w:type="character" w:styleId="ListLabel89">
    <w:name w:val="ListLabel 89"/>
    <w:qFormat/>
    <w:rPr>
      <w:rFonts w:cs="OpenSymbol"/>
    </w:rPr>
  </w:style>
  <w:style w:type="character" w:styleId="ListLabel90">
    <w:name w:val="ListLabel 90"/>
    <w:qFormat/>
    <w:rPr>
      <w:rFonts w:cs="Wingdings"/>
    </w:rPr>
  </w:style>
  <w:style w:type="character" w:styleId="ListLabel91">
    <w:name w:val="ListLabel 91"/>
    <w:qFormat/>
    <w:rPr>
      <w:rFonts w:cs="Symbol"/>
    </w:rPr>
  </w:style>
  <w:style w:type="character" w:styleId="ListLabel92">
    <w:name w:val="ListLabel 92"/>
    <w:qFormat/>
    <w:rPr>
      <w:rFonts w:cs="OpenSymbol"/>
    </w:rPr>
  </w:style>
  <w:style w:type="character" w:styleId="ListLabel93">
    <w:name w:val="ListLabel 93"/>
    <w:qFormat/>
    <w:rPr>
      <w:rFonts w:cs="Wingdings"/>
    </w:rPr>
  </w:style>
  <w:style w:type="character" w:styleId="ListLabel94">
    <w:name w:val="ListLabel 94"/>
    <w:qFormat/>
    <w:rPr>
      <w:rFonts w:cs="Symbol"/>
    </w:rPr>
  </w:style>
  <w:style w:type="character" w:styleId="ListLabel95">
    <w:name w:val="ListLabel 95"/>
    <w:qFormat/>
    <w:rPr>
      <w:rFonts w:cs="OpenSymbol"/>
    </w:rPr>
  </w:style>
  <w:style w:type="character" w:styleId="ListLabel96">
    <w:name w:val="ListLabel 96"/>
    <w:qFormat/>
    <w:rPr>
      <w:rFonts w:cs="Wingdings"/>
    </w:rPr>
  </w:style>
  <w:style w:type="character" w:styleId="ListLabel97">
    <w:name w:val="ListLabel 97"/>
    <w:qFormat/>
    <w:rPr>
      <w:rFonts w:ascii="Calibri" w:hAnsi="Calibri" w:cs="Symbol"/>
    </w:rPr>
  </w:style>
  <w:style w:type="character" w:styleId="ListLabel98">
    <w:name w:val="ListLabel 98"/>
    <w:qFormat/>
    <w:rPr>
      <w:rFonts w:cs="OpenSymbol"/>
    </w:rPr>
  </w:style>
  <w:style w:type="character" w:styleId="ListLabel99">
    <w:name w:val="ListLabel 99"/>
    <w:qFormat/>
    <w:rPr>
      <w:rFonts w:cs="Wingdings"/>
    </w:rPr>
  </w:style>
  <w:style w:type="character" w:styleId="ListLabel100">
    <w:name w:val="ListLabel 100"/>
    <w:qFormat/>
    <w:rPr>
      <w:rFonts w:cs="Symbol"/>
    </w:rPr>
  </w:style>
  <w:style w:type="character" w:styleId="ListLabel101">
    <w:name w:val="ListLabel 101"/>
    <w:qFormat/>
    <w:rPr>
      <w:rFonts w:cs="OpenSymbol"/>
    </w:rPr>
  </w:style>
  <w:style w:type="character" w:styleId="ListLabel102">
    <w:name w:val="ListLabel 102"/>
    <w:qFormat/>
    <w:rPr>
      <w:rFonts w:cs="Wingdings"/>
    </w:rPr>
  </w:style>
  <w:style w:type="character" w:styleId="ListLabel103">
    <w:name w:val="ListLabel 103"/>
    <w:qFormat/>
    <w:rPr>
      <w:rFonts w:cs="Symbol"/>
    </w:rPr>
  </w:style>
  <w:style w:type="character" w:styleId="ListLabel104">
    <w:name w:val="ListLabel 104"/>
    <w:qFormat/>
    <w:rPr>
      <w:rFonts w:cs="OpenSymbol"/>
    </w:rPr>
  </w:style>
  <w:style w:type="character" w:styleId="ListLabel105">
    <w:name w:val="ListLabel 105"/>
    <w:qFormat/>
    <w:rPr>
      <w:rFonts w:cs="Wingdings"/>
    </w:rPr>
  </w:style>
  <w:style w:type="character" w:styleId="ListLabel106">
    <w:name w:val="ListLabel 106"/>
    <w:qFormat/>
    <w:rPr>
      <w:rFonts w:ascii="Calibri" w:hAnsi="Calibri" w:cs="Symbol"/>
    </w:rPr>
  </w:style>
  <w:style w:type="character" w:styleId="ListLabel107">
    <w:name w:val="ListLabel 107"/>
    <w:qFormat/>
    <w:rPr>
      <w:rFonts w:cs="Courier New"/>
      <w:b w:val="false"/>
      <w:i w:val="false"/>
      <w:caps w:val="false"/>
      <w:smallCaps w:val="false"/>
      <w:strike w:val="false"/>
      <w:dstrike w:val="false"/>
      <w:color w:val="337AB7"/>
      <w:spacing w:val="0"/>
      <w:sz w:val="15"/>
      <w:u w:val="none"/>
      <w:effect w:val="none"/>
    </w:rPr>
  </w:style>
  <w:style w:type="character" w:styleId="ListLabel108">
    <w:name w:val="ListLabel 108"/>
    <w:qFormat/>
    <w:rPr>
      <w:rFonts w:cs="Wingdings"/>
    </w:rPr>
  </w:style>
  <w:style w:type="character" w:styleId="ListLabel109">
    <w:name w:val="ListLabel 109"/>
    <w:qFormat/>
    <w:rPr>
      <w:rFonts w:cs="Symbol"/>
    </w:rPr>
  </w:style>
  <w:style w:type="character" w:styleId="ListLabel110">
    <w:name w:val="ListLabel 110"/>
    <w:qFormat/>
    <w:rPr>
      <w:rFonts w:cs="Courier New"/>
    </w:rPr>
  </w:style>
  <w:style w:type="character" w:styleId="ListLabel111">
    <w:name w:val="ListLabel 111"/>
    <w:qFormat/>
    <w:rPr>
      <w:rFonts w:cs="Wingdings"/>
    </w:rPr>
  </w:style>
  <w:style w:type="character" w:styleId="ListLabel112">
    <w:name w:val="ListLabel 112"/>
    <w:qFormat/>
    <w:rPr>
      <w:rFonts w:cs="Symbol"/>
    </w:rPr>
  </w:style>
  <w:style w:type="character" w:styleId="ListLabel113">
    <w:name w:val="ListLabel 113"/>
    <w:qFormat/>
    <w:rPr>
      <w:rFonts w:cs="Courier New"/>
    </w:rPr>
  </w:style>
  <w:style w:type="character" w:styleId="ListLabel114">
    <w:name w:val="ListLabel 114"/>
    <w:qFormat/>
    <w:rPr>
      <w:rFonts w:cs="Wingdings"/>
    </w:rPr>
  </w:style>
  <w:style w:type="character" w:styleId="ListLabel115">
    <w:name w:val="ListLabel 115"/>
    <w:qFormat/>
    <w:rPr>
      <w:rFonts w:ascii="Calibri" w:hAnsi="Calibri" w:cs="Symbol"/>
    </w:rPr>
  </w:style>
  <w:style w:type="character" w:styleId="ListLabel116">
    <w:name w:val="ListLabel 116"/>
    <w:qFormat/>
    <w:rPr>
      <w:rFonts w:cs="Courier New"/>
    </w:rPr>
  </w:style>
  <w:style w:type="character" w:styleId="ListLabel117">
    <w:name w:val="ListLabel 117"/>
    <w:qFormat/>
    <w:rPr>
      <w:rFonts w:cs="Wingdings"/>
    </w:rPr>
  </w:style>
  <w:style w:type="character" w:styleId="ListLabel118">
    <w:name w:val="ListLabel 118"/>
    <w:qFormat/>
    <w:rPr>
      <w:rFonts w:cs="Symbol"/>
    </w:rPr>
  </w:style>
  <w:style w:type="character" w:styleId="ListLabel119">
    <w:name w:val="ListLabel 119"/>
    <w:qFormat/>
    <w:rPr>
      <w:rFonts w:cs="Courier New"/>
    </w:rPr>
  </w:style>
  <w:style w:type="character" w:styleId="ListLabel120">
    <w:name w:val="ListLabel 120"/>
    <w:qFormat/>
    <w:rPr>
      <w:rFonts w:cs="Wingdings"/>
    </w:rPr>
  </w:style>
  <w:style w:type="character" w:styleId="ListLabel121">
    <w:name w:val="ListLabel 121"/>
    <w:qFormat/>
    <w:rPr>
      <w:rFonts w:cs="Symbol"/>
    </w:rPr>
  </w:style>
  <w:style w:type="character" w:styleId="ListLabel122">
    <w:name w:val="ListLabel 122"/>
    <w:qFormat/>
    <w:rPr>
      <w:rFonts w:cs="Courier New"/>
    </w:rPr>
  </w:style>
  <w:style w:type="character" w:styleId="ListLabel123">
    <w:name w:val="ListLabel 123"/>
    <w:qFormat/>
    <w:rPr>
      <w:rFonts w:cs="Wingdings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f76c91"/>
    <w:pPr>
      <w:spacing w:before="0" w:after="160"/>
      <w:ind w:left="720" w:hanging="0"/>
      <w:contextualSpacing/>
    </w:pPr>
    <w:rPr/>
  </w:style>
  <w:style w:type="paragraph" w:styleId="Style22">
    <w:name w:val="Header"/>
    <w:basedOn w:val="Normal"/>
    <w:link w:val="a6"/>
    <w:uiPriority w:val="99"/>
    <w:unhideWhenUsed/>
    <w:rsid w:val="00e33fbe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3">
    <w:name w:val="Footer"/>
    <w:basedOn w:val="Normal"/>
    <w:link w:val="a8"/>
    <w:uiPriority w:val="99"/>
    <w:unhideWhenUsed/>
    <w:rsid w:val="00e33fbe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4">
    <w:name w:val="Содержимое таблицы"/>
    <w:basedOn w:val="Normal"/>
    <w:qFormat/>
    <w:pPr>
      <w:suppressLineNumbers/>
    </w:pPr>
    <w:rPr/>
  </w:style>
  <w:style w:type="paragraph" w:styleId="Style25">
    <w:name w:val="Заголовок таблицы"/>
    <w:basedOn w:val="Style24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f76c9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header" Target="header1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Application>Neat_Office/6.2.8.2$Windows_x86 LibreOffice_project/</Application>
  <Pages>8</Pages>
  <Words>1176</Words>
  <Characters>7655</Characters>
  <CharactersWithSpaces>8737</CharactersWithSpaces>
  <Paragraphs>152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2022-02-27T10:41:00Z</dcterms:created>
  <dc:creator>burdyuk1998@mail.ru</dc:creator>
  <dc:description/>
  <dc:language>ru-RU</dc:language>
  <cp:lastModifiedBy/>
  <dcterms:modified xsi:type="dcterms:W3CDTF">2022-11-06T18:21:53Z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