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Дидактическая игра как средство сенсомоторного развития детей с умственной отсталостью</w:t>
      </w:r>
    </w:p>
    <w:p w:rsidR="00205BF5" w:rsidRPr="00375023" w:rsidRDefault="00205BF5" w:rsidP="00205B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Pr="00375023" w:rsidRDefault="00205BF5" w:rsidP="00205B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Введение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детей с умственной отсталостью игровая деятельность длительное время остается несамостоятельной и требует специального обучения. Однако именно игра, и прежде всего дидактическая, является наиболее естественной и доступной формой коррекционной работы. Л.С. Выготский подчеркивал, что игра создает зону ближайшего развития ребенка.</w:t>
      </w:r>
    </w:p>
    <w:p w:rsidR="00205BF5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Дидактическая игра обладает уникальными возможностями для сенсомоторного развития детей с умственной отсталостью. Она одновременно решает несколько задач: развивает ощущения и восприятие (сенсорная сфера), формирует двигательные навыки (моторная сфера), активизирует познавательную деятельность, создает положительный эмоциональный фон, позволяет многократно повторять один и тот же материал без потери интереса.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Психолого-педагогические основания использования дидактической игры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работах Л.С. Выготского подчёркивается, что игра создаёт зону ближайшего развития: в игре ребёнок всегда «выше своего среднего возраста», он делает то, что в учебной ситуации ему ещё недоступно. Для детей с умственной отсталостью это особенно значимо, так как их обучаемость напрямую зависит от эмоциональной </w:t>
      </w:r>
      <w:proofErr w:type="spellStart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включённости</w:t>
      </w:r>
      <w:proofErr w:type="spellEnd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практического действия.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Кроме того, дидактическая игра опирается на наглядно-действенное мышление, которое является ведущим у детей с интеллектуальными нарушениями. Ребёнок не просто слушает объяснение – он действует руками, 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обследует, перемещает, сравнивает. Именно через действие формируются сенсорные эталоны и двигательные навыки.</w:t>
      </w:r>
    </w:p>
    <w:p w:rsidR="00205BF5" w:rsidRPr="00375023" w:rsidRDefault="00205BF5" w:rsidP="00205BF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Преимущества дидактической игры перед традиционными методами обучения</w:t>
      </w:r>
    </w:p>
    <w:p w:rsidR="00205BF5" w:rsidRDefault="00205BF5" w:rsidP="00205B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Преимущество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Естественная мотивация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Ребёнок играет потому, что ему интересно, а не потому, что «надо»</w:t>
            </w:r>
          </w:p>
        </w:tc>
      </w:tr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Многократная повторяемость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Одну и ту же игру можно проводить многократно, и она не надоедает – это критически важно для детей с УО, у которых навык формируется медленно</w:t>
            </w:r>
          </w:p>
        </w:tc>
      </w:tr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направленность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Ребёнок действует, а не пассивно слушает</w:t>
            </w:r>
          </w:p>
        </w:tc>
      </w:tr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Эмоциональная насыщенность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Положительные эмоции способствуют запоминанию и снижают утомляемость</w:t>
            </w:r>
          </w:p>
        </w:tc>
      </w:tr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Адаптивность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Игру легко упростить или усложнить под конкретного ребёнка</w:t>
            </w:r>
          </w:p>
        </w:tc>
      </w:tr>
      <w:tr w:rsidR="00205BF5" w:rsidTr="00A14BBD">
        <w:tc>
          <w:tcPr>
            <w:tcW w:w="2660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Контролируемость</w:t>
            </w:r>
          </w:p>
        </w:tc>
        <w:tc>
          <w:tcPr>
            <w:tcW w:w="6911" w:type="dxa"/>
          </w:tcPr>
          <w:p w:rsidR="00205BF5" w:rsidRDefault="00205BF5" w:rsidP="00A14BB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50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Взрослый чётко видит, что у ребёнка получается, а что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нет</w:t>
            </w:r>
          </w:p>
        </w:tc>
      </w:tr>
    </w:tbl>
    <w:p w:rsidR="00205BF5" w:rsidRPr="00375023" w:rsidRDefault="00205BF5" w:rsidP="00205B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Виды дидактических игр для сенсомоторного развития</w:t>
      </w:r>
    </w:p>
    <w:p w:rsidR="00205BF5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 учётом структуры сенсомоторного дефекта при умственной отсталости все дидактические игры можно разделить на пять групп.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Игры на развитие зрительного восприятия и зрительной памяти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формирование умения различать цвет, форму, величину, узнавать предметы по зрительному образу, запоминать расположение.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игр: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«Цветные домики» (соотнесение по цвету)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«Разложи по форме» (сортировка геометрических фигур)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«Большой – маленький» (сравнение по величине)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«Что изменилось?» (развитие зрительной памяти)</w:t>
      </w:r>
    </w:p>
    <w:p w:rsidR="00205BF5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«Найди </w:t>
      </w:r>
      <w:proofErr w:type="gramStart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такую</w:t>
      </w:r>
      <w:proofErr w:type="gramEnd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же» (поиск по образцу)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Игры на развитие тактильных ощущений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обогащение тактильного опыта, развитие умения различать предметы на ощупь (форма, фактура, температура, вес), снижение тактильной защиты.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игр: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«Волшебный мешочек» (узнавание предмета на ощупь)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«Найди пару на ощупь» (подбор одинаковых текстур)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«Сенсорная коробка» (поиск предметов в крупе)</w:t>
      </w:r>
    </w:p>
    <w:p w:rsidR="00205BF5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</w:t>
      </w:r>
      <w:proofErr w:type="gramStart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Тёплый</w:t>
      </w:r>
      <w:proofErr w:type="gramEnd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– холодный» (различение температуры)</w:t>
      </w:r>
    </w:p>
    <w:p w:rsidR="00205BF5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3. Игры на развитие мелкой моторики и </w:t>
      </w:r>
      <w:proofErr w:type="gramStart"/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кистевого</w:t>
      </w:r>
      <w:proofErr w:type="gramEnd"/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праксиса</w:t>
      </w:r>
      <w:proofErr w:type="spellEnd"/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силы и координации пальцев, формирование различных видов захвата (</w:t>
      </w:r>
      <w:proofErr w:type="spellStart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ладошный</w:t>
      </w:r>
      <w:proofErr w:type="spellEnd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→ </w:t>
      </w:r>
      <w:proofErr w:type="gramStart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щипковый</w:t>
      </w:r>
      <w:proofErr w:type="gramEnd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→ пинцетный), подготовка руки к письму и самообслуживанию.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игр: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«Веселые прищепки» (прикрепление прищепок)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«Накорми куклу» (нанизывание бус)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«Шнуровка» (продевание шнурка)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«Переложи предметы» (перекладывание пальцами)</w:t>
      </w:r>
    </w:p>
    <w:p w:rsidR="00205BF5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«Пальчиковый бассейн» (пои</w:t>
      </w:r>
      <w:proofErr w:type="gramStart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ск в кр</w:t>
      </w:r>
      <w:proofErr w:type="gramEnd"/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упе)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4. Игры на развитие слухового восприятия и </w:t>
      </w:r>
      <w:proofErr w:type="spellStart"/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слухо</w:t>
      </w:r>
      <w:proofErr w:type="spellEnd"/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-моторной координации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Задачи: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умения различать неречевые звуки, определять направление и силу звука, реагировать движением на звуковой сигнал.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игр: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«Угадай, что звучит» (различение музыкальных инструментов)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«Кто позвал?» (узнавание голоса)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«Громко – тихо» (определение силы звука)</w:t>
      </w:r>
    </w:p>
    <w:p w:rsidR="00205BF5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«Топни – хлопни» (движение в ответ на звук)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Комплексные сенсомоторные игры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одновременное развитие нескольких сенсорных каналов в единстве с двигательной активностью. Такие игры наиболее приближены к реальной жизненной ситуации.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Примеры игр: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«Сенсорная дорожка» (тактильные ощущения стоп + равновесие)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«Найди клад» (зрение + слух + тактильные ощущения)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«Пальчиковый театр» (мелкая моторика + речь + зрительный контроль)</w:t>
      </w:r>
    </w:p>
    <w:p w:rsidR="00205BF5" w:rsidRPr="00375023" w:rsidRDefault="00205BF5" w:rsidP="00205B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Развёрнутые примеры дидактических игр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Игра «Цветные домики»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закрепление представлений об основных цветах, развитие зрительного соотнесения.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картонные домики (красный, синий, жёлтый, зелёный), набор цветных кружков или мелких игрушек тех же цветов.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игры: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Перед ребёнком раскладываются домики разного цвета. Педагог даёт фигурку и говорит: «Посели кружок в свой домик». Ребёнок должен положить фигурку в домик такого же цвета.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При ошибке: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педагог помогает: «Этот кружок красный. А где красный домик? Давай вместе найдём».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Варианты усложнения:</w:t>
      </w:r>
    </w:p>
    <w:p w:rsidR="00205BF5" w:rsidRPr="00BF0E61" w:rsidRDefault="00205BF5" w:rsidP="00205BF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добавить 2–3 оттенка одного цвета (тёмно-красный, светло-красный);</w:t>
      </w:r>
    </w:p>
    <w:p w:rsidR="00205BF5" w:rsidRPr="00BF0E61" w:rsidRDefault="00205BF5" w:rsidP="00205BF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использовать фигурки разной формы, чтобы ребёнок ориентировался только на цвет;</w:t>
      </w:r>
    </w:p>
    <w:p w:rsidR="00205BF5" w:rsidRPr="00BF0E61" w:rsidRDefault="00205BF5" w:rsidP="00205BF5">
      <w:pPr>
        <w:pStyle w:val="a5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игра на время (для детей с легкой степенью).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Игра «Волшебный мешочек»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тактильного восприятия, умения узнавать предмет на ощупь.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gramStart"/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непрозрачный мешочек, 5–7 хорошо знакомых ребёнку предметов (ложка, кубик, мячик, ключ, карандаш, расчёска, пуговица).</w:t>
      </w:r>
      <w:proofErr w:type="gramEnd"/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игры: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Педагог показывает предметы, называет их, даёт ребёнку подержать. Затем предметы кладутся в мешочек. Ребёнок опускает руку, нащупывает один предмет и пытается угадать. Если не угадывает – достаёт и проверяет.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Варианты усложнения:</w:t>
      </w:r>
    </w:p>
    <w:p w:rsidR="00205BF5" w:rsidRPr="00BF0E61" w:rsidRDefault="00205BF5" w:rsidP="00205BF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найти предмет по описанию («найди круглый и гладкий»);</w:t>
      </w:r>
    </w:p>
    <w:p w:rsidR="00205BF5" w:rsidRPr="00BF0E61" w:rsidRDefault="00205BF5" w:rsidP="00205BF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выбрать среди 2–3 похожих предметов;</w:t>
      </w:r>
    </w:p>
    <w:p w:rsidR="00205BF5" w:rsidRPr="00BF0E61" w:rsidRDefault="00205BF5" w:rsidP="00205BF5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 неговорящих детей – показать такой же предмет на столе.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Игра «Веселые прищепки»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развитие силы пальцев, формирование щипкового захвата, координация движений.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Материал: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разноцветные бельевые прищепки, картонные шаблоны (солнышко без лучиков, ёжик без иголок, тучка без капель).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Ход игры:</w:t>
      </w: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Педагог показывает шаблон: «У солнышка пропали лучики. Давай их прикрепим!» Ребёнок прикрепляет прищепки по краю шаблона.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Важные методические моменты:</w:t>
      </w:r>
    </w:p>
    <w:p w:rsidR="00205BF5" w:rsidRPr="00BF0E61" w:rsidRDefault="00205BF5" w:rsidP="00205BF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следить, чтобы ребёнок брал прищепку тремя пальцами (большой, указательный, средний);</w:t>
      </w:r>
    </w:p>
    <w:p w:rsidR="00205BF5" w:rsidRPr="00BF0E61" w:rsidRDefault="00205BF5" w:rsidP="00205BF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 необходимости использовать приём «рука в руке»;</w:t>
      </w:r>
    </w:p>
    <w:p w:rsidR="00205BF5" w:rsidRPr="00BF0E61" w:rsidRDefault="00205BF5" w:rsidP="00205BF5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начинать с крупных, легко сжимаемых прищепок.</w:t>
      </w:r>
    </w:p>
    <w:p w:rsidR="00205BF5" w:rsidRPr="00375023" w:rsidRDefault="00205BF5" w:rsidP="00205BF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Методические рекомендации по проведению дидактических игр с учётом степени тяжести нарушения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детей с лёгкой умственной отсталостью (F70)</w:t>
      </w:r>
    </w:p>
    <w:p w:rsidR="00205BF5" w:rsidRPr="00BF0E61" w:rsidRDefault="00205BF5" w:rsidP="00205BF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Игры могут включать несколько признаков одновременно (цвет + форма, цвет + величина).</w:t>
      </w:r>
    </w:p>
    <w:p w:rsidR="00205BF5" w:rsidRPr="00BF0E61" w:rsidRDefault="00205BF5" w:rsidP="00205BF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Возможно использование соревновательного элемента («кто быстрее», «кто больше»).</w:t>
      </w:r>
    </w:p>
    <w:p w:rsidR="00205BF5" w:rsidRPr="00BF0E61" w:rsidRDefault="00205BF5" w:rsidP="00205BF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После обучения ребёнок может играть самостоятельно.</w:t>
      </w:r>
    </w:p>
    <w:p w:rsidR="00205BF5" w:rsidRPr="00BF0E61" w:rsidRDefault="00205BF5" w:rsidP="00205BF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Важно проговаривать правила и учить ребёнка рассказывать о своих действиях.</w:t>
      </w:r>
    </w:p>
    <w:p w:rsidR="00205BF5" w:rsidRPr="00BF0E61" w:rsidRDefault="00205BF5" w:rsidP="00205BF5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Длительность игры – 10–15 минут.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left="-36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детей с умеренной умственной отсталостью (F71)</w:t>
      </w:r>
    </w:p>
    <w:p w:rsidR="00205BF5" w:rsidRPr="00BF0E61" w:rsidRDefault="00205BF5" w:rsidP="00205BF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Правила должны быть максимально простыми (1–2 правила).</w:t>
      </w:r>
    </w:p>
    <w:p w:rsidR="00205BF5" w:rsidRPr="00BF0E61" w:rsidRDefault="00205BF5" w:rsidP="00205BF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Одна и та же игра проводится многократно (10–15 раз и более).</w:t>
      </w:r>
    </w:p>
    <w:p w:rsidR="00205BF5" w:rsidRPr="00BF0E61" w:rsidRDefault="00205BF5" w:rsidP="00205BF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Взрослый активно помогает (показывает, направляет руку, комментирует).</w:t>
      </w:r>
    </w:p>
    <w:p w:rsidR="00205BF5" w:rsidRPr="00BF0E61" w:rsidRDefault="00205BF5" w:rsidP="00205BF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Игра должна иметь чёткий, зримый результат.</w:t>
      </w:r>
    </w:p>
    <w:p w:rsidR="00205BF5" w:rsidRPr="00BF0E61" w:rsidRDefault="00205BF5" w:rsidP="00205BF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Длительность – 5–10 минут.</w:t>
      </w:r>
    </w:p>
    <w:p w:rsidR="00205BF5" w:rsidRPr="00BF0E61" w:rsidRDefault="00205BF5" w:rsidP="00205BF5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Обязательное эмоциональное подкрепление каждого успеха.</w:t>
      </w:r>
    </w:p>
    <w:p w:rsidR="00205BF5" w:rsidRPr="00375023" w:rsidRDefault="00205BF5" w:rsidP="00205B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 детей с тяжёлой умственной отсталостью и ТМНР (F72, F73)</w:t>
      </w:r>
    </w:p>
    <w:p w:rsidR="00205BF5" w:rsidRPr="00BF0E61" w:rsidRDefault="00205BF5" w:rsidP="00205BF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Игры носят характер сенсорной стимуляции, а не игры с правилами.</w:t>
      </w:r>
    </w:p>
    <w:p w:rsidR="00205BF5" w:rsidRPr="00BF0E61" w:rsidRDefault="00205BF5" w:rsidP="00205BF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Ребёнок – участник, а не игрок. Цель – дать ему разнообразные ощущения.</w:t>
      </w:r>
    </w:p>
    <w:p w:rsidR="00205BF5" w:rsidRPr="00BF0E61" w:rsidRDefault="00205BF5" w:rsidP="00205BF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Акцент на совместных действиях («рука в руке», пассивные движения).</w:t>
      </w:r>
    </w:p>
    <w:p w:rsidR="00205BF5" w:rsidRPr="00BF0E61" w:rsidRDefault="00205BF5" w:rsidP="00205BF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Используются крупные, яркие, контрастные материалы.</w:t>
      </w:r>
    </w:p>
    <w:p w:rsidR="00205BF5" w:rsidRPr="00BF0E61" w:rsidRDefault="00205BF5" w:rsidP="00205BF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Длительность – 3–5 минут.</w:t>
      </w:r>
    </w:p>
    <w:p w:rsidR="00205BF5" w:rsidRPr="00BF0E61" w:rsidRDefault="00205BF5" w:rsidP="00205BF5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Главное – получение ребёнком приятных ощущений и интереса.</w:t>
      </w:r>
    </w:p>
    <w:p w:rsidR="00205BF5" w:rsidRPr="00375023" w:rsidRDefault="00205BF5" w:rsidP="00205B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Общие принципы проведения дидактических игр</w:t>
      </w:r>
    </w:p>
    <w:p w:rsidR="00205BF5" w:rsidRPr="00BF0E61" w:rsidRDefault="00205BF5" w:rsidP="00205BF5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От простого к сложному.</w:t>
      </w: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Начинать с 1–2 признаков (только цвет), затем добавлять форму, величину, другие признаки.</w:t>
      </w:r>
    </w:p>
    <w:p w:rsidR="00205BF5" w:rsidRPr="00BF0E61" w:rsidRDefault="00205BF5" w:rsidP="00205BF5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Многократное повторение.</w:t>
      </w: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 детей с умственной отсталостью навык формируется медленно. Одна игра проводится многократно, пока ребёнок не начнёт действовать уверенно.</w:t>
      </w:r>
    </w:p>
    <w:p w:rsidR="00205BF5" w:rsidRPr="00BF0E61" w:rsidRDefault="00205BF5" w:rsidP="00205BF5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Эмоциональная поддержка.</w:t>
      </w: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Хвалить за любую попытку, не только за правильный результат. Положительное подкрепление повышает мотивацию.</w:t>
      </w:r>
    </w:p>
    <w:p w:rsidR="00205BF5" w:rsidRPr="00BF0E61" w:rsidRDefault="00205BF5" w:rsidP="00205BF5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Наглядность.</w:t>
      </w: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Яркое, привлекательное оформление. Материалы – чистые, целые, безопасные.</w:t>
      </w:r>
    </w:p>
    <w:p w:rsidR="00205BF5" w:rsidRPr="00BF0E61" w:rsidRDefault="00205BF5" w:rsidP="00205BF5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Дозированность</w:t>
      </w:r>
      <w:proofErr w:type="spellEnd"/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нагрузки.</w:t>
      </w: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Лучше играть 5–10 минут ежедневно, чем 30 минут раз в неделю.</w:t>
      </w:r>
    </w:p>
    <w:p w:rsidR="00205BF5" w:rsidRPr="00BF0E61" w:rsidRDefault="00205BF5" w:rsidP="00205BF5">
      <w:pPr>
        <w:pStyle w:val="a5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BF0E6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Фиксация достижений.</w:t>
      </w:r>
      <w:r w:rsidRPr="00BF0E6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Даже маленький успех нужно отмечать. Это формирует положительную самооценку.</w:t>
      </w:r>
    </w:p>
    <w:p w:rsidR="00205BF5" w:rsidRPr="00375023" w:rsidRDefault="00205BF5" w:rsidP="00205BF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Заключение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Дидактическая игра является эффективным, научно обоснованным средством сенсомоторного развития детей с умственной отсталостью. Она позволяет в естественной, доступной и эмоционально привлекательной форме решать широкий спектр коррекционных задач: от развития элементарных ощущений до формирования сложных сенсомоторных координаций.</w:t>
      </w:r>
    </w:p>
    <w:p w:rsidR="00205BF5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750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Правильно организованная дидактическая игра не только развивает сенсорную и моторную сферы, но и создаёт положительную мотивацию к обучению, формирует предпосылки учебной деятельности и способствует социализации ребёнка.</w:t>
      </w:r>
    </w:p>
    <w:p w:rsidR="00205BF5" w:rsidRPr="00375023" w:rsidRDefault="00205BF5" w:rsidP="00205BF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205BF5" w:rsidRPr="00BF0E61" w:rsidRDefault="00205BF5" w:rsidP="00205BF5">
      <w:pPr>
        <w:pStyle w:val="1"/>
        <w:shd w:val="clear" w:color="auto" w:fill="FFFFFF"/>
        <w:spacing w:before="0" w:beforeAutospacing="0" w:after="0" w:afterAutospacing="0" w:line="360" w:lineRule="auto"/>
        <w:jc w:val="center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Список литературы</w:t>
      </w:r>
    </w:p>
    <w:p w:rsidR="00205BF5" w:rsidRPr="00BF0E61" w:rsidRDefault="00205BF5" w:rsidP="00205BF5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F0E61">
        <w:rPr>
          <w:color w:val="0F1115"/>
          <w:sz w:val="28"/>
          <w:szCs w:val="28"/>
        </w:rPr>
        <w:t>Выготский, Л. С. Игра и ее роль в психическом развитии ребенка / Л. С. Выготский // Вопросы психологии. — 1966. — № 6. — С. 62–76.</w:t>
      </w:r>
    </w:p>
    <w:p w:rsidR="00205BF5" w:rsidRPr="00BF0E61" w:rsidRDefault="00205BF5" w:rsidP="00205BF5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proofErr w:type="spellStart"/>
      <w:r w:rsidRPr="00BF0E61">
        <w:rPr>
          <w:color w:val="0F1115"/>
          <w:sz w:val="28"/>
          <w:szCs w:val="28"/>
        </w:rPr>
        <w:t>Стребелева</w:t>
      </w:r>
      <w:proofErr w:type="spellEnd"/>
      <w:r w:rsidRPr="00BF0E61">
        <w:rPr>
          <w:color w:val="0F1115"/>
          <w:sz w:val="28"/>
          <w:szCs w:val="28"/>
        </w:rPr>
        <w:t xml:space="preserve">, Е. А. Коррекционно-развивающее обучение детей в процессе дидактических игр / Е. А. </w:t>
      </w:r>
      <w:proofErr w:type="spellStart"/>
      <w:r w:rsidRPr="00BF0E61">
        <w:rPr>
          <w:color w:val="0F1115"/>
          <w:sz w:val="28"/>
          <w:szCs w:val="28"/>
        </w:rPr>
        <w:t>Стребелева</w:t>
      </w:r>
      <w:proofErr w:type="spellEnd"/>
      <w:r w:rsidRPr="00BF0E61">
        <w:rPr>
          <w:color w:val="0F1115"/>
          <w:sz w:val="28"/>
          <w:szCs w:val="28"/>
        </w:rPr>
        <w:t>. — Москва</w:t>
      </w:r>
      <w:proofErr w:type="gramStart"/>
      <w:r w:rsidRPr="00BF0E61">
        <w:rPr>
          <w:color w:val="0F1115"/>
          <w:sz w:val="28"/>
          <w:szCs w:val="28"/>
        </w:rPr>
        <w:t xml:space="preserve"> :</w:t>
      </w:r>
      <w:proofErr w:type="gramEnd"/>
      <w:r w:rsidRPr="00BF0E61">
        <w:rPr>
          <w:color w:val="0F1115"/>
          <w:sz w:val="28"/>
          <w:szCs w:val="28"/>
        </w:rPr>
        <w:t xml:space="preserve"> ВЛАДОС, 2008. — 256 с.</w:t>
      </w:r>
    </w:p>
    <w:p w:rsidR="00205BF5" w:rsidRPr="00BF0E61" w:rsidRDefault="00205BF5" w:rsidP="00205BF5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proofErr w:type="spellStart"/>
      <w:r w:rsidRPr="00BF0E61">
        <w:rPr>
          <w:color w:val="0F1115"/>
          <w:sz w:val="28"/>
          <w:szCs w:val="28"/>
        </w:rPr>
        <w:t>Маллер</w:t>
      </w:r>
      <w:proofErr w:type="spellEnd"/>
      <w:r w:rsidRPr="00BF0E61">
        <w:rPr>
          <w:color w:val="0F1115"/>
          <w:sz w:val="28"/>
          <w:szCs w:val="28"/>
        </w:rPr>
        <w:t xml:space="preserve">, А. Р. Дидактические игры в обучении детей с нарушениями интеллекта / А. Р. </w:t>
      </w:r>
      <w:proofErr w:type="spellStart"/>
      <w:r w:rsidRPr="00BF0E61">
        <w:rPr>
          <w:color w:val="0F1115"/>
          <w:sz w:val="28"/>
          <w:szCs w:val="28"/>
        </w:rPr>
        <w:t>Маллер</w:t>
      </w:r>
      <w:proofErr w:type="spellEnd"/>
      <w:r w:rsidRPr="00BF0E61">
        <w:rPr>
          <w:color w:val="0F1115"/>
          <w:sz w:val="28"/>
          <w:szCs w:val="28"/>
        </w:rPr>
        <w:t xml:space="preserve"> // Дефектология. — 2003. — № 4. — С. 45–50.</w:t>
      </w:r>
    </w:p>
    <w:p w:rsidR="00205BF5" w:rsidRPr="00BF0E61" w:rsidRDefault="00205BF5" w:rsidP="00205BF5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proofErr w:type="spellStart"/>
      <w:r w:rsidRPr="00BF0E61">
        <w:rPr>
          <w:color w:val="0F1115"/>
          <w:sz w:val="28"/>
          <w:szCs w:val="28"/>
        </w:rPr>
        <w:t>Баряева</w:t>
      </w:r>
      <w:proofErr w:type="spellEnd"/>
      <w:r w:rsidRPr="00BF0E61">
        <w:rPr>
          <w:color w:val="0F1115"/>
          <w:sz w:val="28"/>
          <w:szCs w:val="28"/>
        </w:rPr>
        <w:t xml:space="preserve">, Л. Б. Обучение сюжетно-ролевой игре детей с проблемами интеллектуального развития / Л. Б. </w:t>
      </w:r>
      <w:proofErr w:type="spellStart"/>
      <w:r w:rsidRPr="00BF0E61">
        <w:rPr>
          <w:color w:val="0F1115"/>
          <w:sz w:val="28"/>
          <w:szCs w:val="28"/>
        </w:rPr>
        <w:t>Баряева</w:t>
      </w:r>
      <w:proofErr w:type="spellEnd"/>
      <w:r w:rsidRPr="00BF0E61">
        <w:rPr>
          <w:color w:val="0F1115"/>
          <w:sz w:val="28"/>
          <w:szCs w:val="28"/>
        </w:rPr>
        <w:t>, А. П. Зарин. — Санкт-Петербург</w:t>
      </w:r>
      <w:proofErr w:type="gramStart"/>
      <w:r w:rsidRPr="00BF0E61">
        <w:rPr>
          <w:color w:val="0F1115"/>
          <w:sz w:val="28"/>
          <w:szCs w:val="28"/>
        </w:rPr>
        <w:t xml:space="preserve"> :</w:t>
      </w:r>
      <w:proofErr w:type="gramEnd"/>
      <w:r w:rsidRPr="00BF0E61">
        <w:rPr>
          <w:color w:val="0F1115"/>
          <w:sz w:val="28"/>
          <w:szCs w:val="28"/>
        </w:rPr>
        <w:t xml:space="preserve"> СОЮЗ, 2001. — 416 с.</w:t>
      </w:r>
    </w:p>
    <w:p w:rsidR="00205BF5" w:rsidRPr="00BF0E61" w:rsidRDefault="00205BF5" w:rsidP="00205BF5">
      <w:pPr>
        <w:pStyle w:val="ds-markdown-paragraph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0"/>
        <w:rPr>
          <w:color w:val="0F1115"/>
          <w:sz w:val="28"/>
          <w:szCs w:val="28"/>
        </w:rPr>
      </w:pPr>
      <w:r w:rsidRPr="00BF0E61">
        <w:rPr>
          <w:color w:val="0F1115"/>
          <w:sz w:val="28"/>
          <w:szCs w:val="28"/>
        </w:rPr>
        <w:t>Сорокина, А. И. Дидактические игры в детском саду / А. И. Сорокина. — Москва</w:t>
      </w:r>
      <w:proofErr w:type="gramStart"/>
      <w:r w:rsidRPr="00BF0E61">
        <w:rPr>
          <w:color w:val="0F1115"/>
          <w:sz w:val="28"/>
          <w:szCs w:val="28"/>
        </w:rPr>
        <w:t xml:space="preserve"> :</w:t>
      </w:r>
      <w:proofErr w:type="gramEnd"/>
      <w:r w:rsidRPr="00BF0E61">
        <w:rPr>
          <w:color w:val="0F1115"/>
          <w:sz w:val="28"/>
          <w:szCs w:val="28"/>
        </w:rPr>
        <w:t xml:space="preserve"> Просвещение, 1982. — 96 с.</w:t>
      </w:r>
    </w:p>
    <w:p w:rsidR="00205BF5" w:rsidRPr="00375023" w:rsidRDefault="00205BF5" w:rsidP="00205B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435A" w:rsidRDefault="0085435A"/>
    <w:sectPr w:rsidR="0085435A" w:rsidSect="00375023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8531814"/>
      <w:docPartObj>
        <w:docPartGallery w:val="Page Numbers (Top of Page)"/>
        <w:docPartUnique/>
      </w:docPartObj>
    </w:sdtPr>
    <w:sdtEndPr/>
    <w:sdtContent>
      <w:p w:rsidR="00BF0E61" w:rsidRDefault="00205BF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F0E61" w:rsidRDefault="00205BF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4090A"/>
    <w:multiLevelType w:val="hybridMultilevel"/>
    <w:tmpl w:val="0A6E6B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DD95615"/>
    <w:multiLevelType w:val="hybridMultilevel"/>
    <w:tmpl w:val="534045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1F34A6"/>
    <w:multiLevelType w:val="hybridMultilevel"/>
    <w:tmpl w:val="27B4753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8EE6C8F"/>
    <w:multiLevelType w:val="hybridMultilevel"/>
    <w:tmpl w:val="FA6A37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D64738F"/>
    <w:multiLevelType w:val="hybridMultilevel"/>
    <w:tmpl w:val="0980B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E14BD9"/>
    <w:multiLevelType w:val="hybridMultilevel"/>
    <w:tmpl w:val="12A24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01C6622"/>
    <w:multiLevelType w:val="hybridMultilevel"/>
    <w:tmpl w:val="EA486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6511AA"/>
    <w:multiLevelType w:val="multilevel"/>
    <w:tmpl w:val="DA769B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7E5"/>
    <w:rsid w:val="00205BF5"/>
    <w:rsid w:val="002547E5"/>
    <w:rsid w:val="007214F4"/>
    <w:rsid w:val="008315AE"/>
    <w:rsid w:val="00854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F5"/>
  </w:style>
  <w:style w:type="paragraph" w:styleId="1">
    <w:name w:val="heading 1"/>
    <w:basedOn w:val="a"/>
    <w:link w:val="10"/>
    <w:uiPriority w:val="9"/>
    <w:qFormat/>
    <w:rsid w:val="00205B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15AE"/>
    <w:rPr>
      <w:b/>
      <w:bCs/>
    </w:rPr>
  </w:style>
  <w:style w:type="paragraph" w:styleId="a4">
    <w:name w:val="No Spacing"/>
    <w:basedOn w:val="a"/>
    <w:uiPriority w:val="1"/>
    <w:qFormat/>
    <w:rsid w:val="0083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315A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05B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s-markdown-paragraph">
    <w:name w:val="ds-markdown-paragraph"/>
    <w:basedOn w:val="a"/>
    <w:rsid w:val="00205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05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05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5B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F5"/>
  </w:style>
  <w:style w:type="paragraph" w:styleId="1">
    <w:name w:val="heading 1"/>
    <w:basedOn w:val="a"/>
    <w:link w:val="10"/>
    <w:uiPriority w:val="9"/>
    <w:qFormat/>
    <w:rsid w:val="00205B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15AE"/>
    <w:rPr>
      <w:b/>
      <w:bCs/>
    </w:rPr>
  </w:style>
  <w:style w:type="paragraph" w:styleId="a4">
    <w:name w:val="No Spacing"/>
    <w:basedOn w:val="a"/>
    <w:uiPriority w:val="1"/>
    <w:qFormat/>
    <w:rsid w:val="0083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315A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05B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s-markdown-paragraph">
    <w:name w:val="ds-markdown-paragraph"/>
    <w:basedOn w:val="a"/>
    <w:rsid w:val="00205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05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05B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05B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1436</Words>
  <Characters>8186</Characters>
  <Application>Microsoft Office Word</Application>
  <DocSecurity>0</DocSecurity>
  <Lines>68</Lines>
  <Paragraphs>19</Paragraphs>
  <ScaleCrop>false</ScaleCrop>
  <Company/>
  <LinksUpToDate>false</LinksUpToDate>
  <CharactersWithSpaces>9603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Михайловы</dc:creator>
  <cp:keywords/>
  <dc:description/>
  <cp:lastModifiedBy>Михайловы</cp:lastModifiedBy>
  <cp:revision>2</cp:revision>
  <dcterms:created xsi:type="dcterms:W3CDTF">2026-05-04T10:04:00Z</dcterms:created>
  <dcterms:modified xsi:type="dcterms:W3CDTF">2026-05-04T10:05:00Z</dcterms:modified>
</cp:coreProperties>
</file>