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CC657" w14:textId="77777777" w:rsidR="00C60606" w:rsidRPr="00504912" w:rsidRDefault="00C60606" w:rsidP="00C60606">
      <w:pPr>
        <w:pStyle w:val="a6"/>
        <w:outlineLvl w:val="1"/>
      </w:pPr>
      <w:r w:rsidRPr="00504912">
        <w:t>Практико-ориентированные задачи как средство обучения математике</w:t>
      </w:r>
    </w:p>
    <w:p w14:paraId="4F21D2A5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F9AD204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Курс «Вероятность и статистика» содержит обширный материал, тесно связанный с повседневной жизнью, профессиональной деятельностью и социально-экономическими процессами. Использование практико-ориентированных задач позволяет не только формировать математические компетенции учащихся, но и развивать их способность к анализу случайных явлений, интерпретации статистических данных и принятию обоснованных решений на основе вероятностных моделей. </w:t>
      </w:r>
    </w:p>
    <w:p w14:paraId="5177C7A2" w14:textId="77777777" w:rsidR="00C60606" w:rsidRPr="000F3D3F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791E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роблема использования практико-ориентированных задач в обучении математике получила широкое освещение в работах Н. К. Акперова [</w:t>
      </w:r>
      <w:r w:rsidRPr="005E791E">
        <w:rPr>
          <w:rFonts w:ascii="Times New Roman" w:hAnsi="Times New Roman" w:cs="Times New Roman"/>
          <w:sz w:val="28"/>
          <w:szCs w:val="28"/>
        </w:rPr>
        <w:t xml:space="preserve">3], </w:t>
      </w:r>
      <w:r>
        <w:rPr>
          <w:rFonts w:ascii="Times New Roman" w:hAnsi="Times New Roman" w:cs="Times New Roman"/>
          <w:sz w:val="28"/>
          <w:szCs w:val="28"/>
        </w:rPr>
        <w:t>Т. А. Воронько [</w:t>
      </w:r>
      <w:r w:rsidRPr="005E791E">
        <w:rPr>
          <w:rFonts w:ascii="Times New Roman" w:hAnsi="Times New Roman" w:cs="Times New Roman"/>
          <w:sz w:val="28"/>
          <w:szCs w:val="28"/>
        </w:rPr>
        <w:t>11], Э</w:t>
      </w:r>
      <w:r>
        <w:rPr>
          <w:rFonts w:ascii="Times New Roman" w:hAnsi="Times New Roman" w:cs="Times New Roman"/>
          <w:sz w:val="28"/>
          <w:szCs w:val="28"/>
        </w:rPr>
        <w:t>. Х. Галямовой [</w:t>
      </w:r>
      <w:r w:rsidRPr="000F3D3F">
        <w:rPr>
          <w:rFonts w:ascii="Times New Roman" w:hAnsi="Times New Roman" w:cs="Times New Roman"/>
          <w:sz w:val="28"/>
          <w:szCs w:val="28"/>
        </w:rPr>
        <w:t>14], С</w:t>
      </w:r>
      <w:r>
        <w:rPr>
          <w:rFonts w:ascii="Times New Roman" w:hAnsi="Times New Roman" w:cs="Times New Roman"/>
          <w:sz w:val="28"/>
          <w:szCs w:val="28"/>
        </w:rPr>
        <w:t>. В. Даниленко [</w:t>
      </w:r>
      <w:r w:rsidRPr="000F3D3F">
        <w:rPr>
          <w:rFonts w:ascii="Times New Roman" w:hAnsi="Times New Roman" w:cs="Times New Roman"/>
          <w:sz w:val="28"/>
          <w:szCs w:val="28"/>
        </w:rPr>
        <w:t>16</w:t>
      </w:r>
      <w:r>
        <w:rPr>
          <w:rFonts w:ascii="Times New Roman" w:hAnsi="Times New Roman" w:cs="Times New Roman"/>
          <w:sz w:val="28"/>
          <w:szCs w:val="28"/>
        </w:rPr>
        <w:t xml:space="preserve">] и др. </w:t>
      </w:r>
    </w:p>
    <w:p w14:paraId="7B326611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Педагоги, занимающиеся вопросом определения «практико-ориентированная задача», определяет ее с различных точек зрения. </w:t>
      </w:r>
    </w:p>
    <w:p w14:paraId="5782A0AC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М. В. Егупова рассматривает практико-ориентированную задачу как «учебно-прикладную математическую задачу, связанную с практическими приложениями математики, которые служат двум основным целям: обучение математике через ее приложения; возможность обучения приложениям математики. Задача, связанная с практическими приложениями математики, – это «задача, представляющая собой содержательную модель реального объекта, математическая модель которого может быть построена средствами школьного курса математики» </w:t>
      </w:r>
      <w:r w:rsidRPr="004074F2">
        <w:rPr>
          <w:rFonts w:ascii="Times New Roman" w:hAnsi="Times New Roman" w:cs="Times New Roman"/>
          <w:sz w:val="28"/>
          <w:szCs w:val="28"/>
        </w:rPr>
        <w:t>[</w:t>
      </w:r>
      <w:r w:rsidRPr="006D5397">
        <w:rPr>
          <w:rFonts w:ascii="Times New Roman" w:hAnsi="Times New Roman" w:cs="Times New Roman"/>
          <w:sz w:val="28"/>
          <w:szCs w:val="28"/>
        </w:rPr>
        <w:t>20</w:t>
      </w:r>
      <w:r w:rsidRPr="004074F2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95AC21F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 М. Хрянина и М. А. Гаврилова акцентируют внимание на деятельностной природе практико-ориентированных задач. Они отмечают, что «выполнение таких заданий побуждает школьников к активной поисковой и творческой деятельности, поскольку нацеливает на самостоятельное решение проблем, возникающих в повседневной жизни» </w:t>
      </w:r>
      <w:r w:rsidRPr="00EF2C6B">
        <w:rPr>
          <w:rFonts w:ascii="Times New Roman" w:hAnsi="Times New Roman" w:cs="Times New Roman"/>
          <w:sz w:val="28"/>
          <w:szCs w:val="28"/>
        </w:rPr>
        <w:t>[</w:t>
      </w:r>
      <w:r w:rsidRPr="006D5397">
        <w:rPr>
          <w:rFonts w:ascii="Times New Roman" w:hAnsi="Times New Roman" w:cs="Times New Roman"/>
          <w:sz w:val="28"/>
          <w:szCs w:val="28"/>
        </w:rPr>
        <w:t>31</w:t>
      </w:r>
      <w:r w:rsidRPr="00EF2C6B">
        <w:rPr>
          <w:rFonts w:ascii="Times New Roman" w:hAnsi="Times New Roman" w:cs="Times New Roman"/>
          <w:sz w:val="28"/>
          <w:szCs w:val="28"/>
        </w:rPr>
        <w:t>].</w:t>
      </w:r>
      <w:r>
        <w:rPr>
          <w:rFonts w:ascii="Times New Roman" w:hAnsi="Times New Roman" w:cs="Times New Roman"/>
          <w:sz w:val="28"/>
          <w:szCs w:val="28"/>
        </w:rPr>
        <w:t xml:space="preserve"> Важной особенностью называется способность таких задач развивать у учащихся самоорганизацию, так как они требуют самостоятельного определения цели, планирования действий и оценки полученного результата. </w:t>
      </w:r>
    </w:p>
    <w:p w14:paraId="39D5FEB9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Стоит отметить, что О. Б. Байкыдыров и С. М. Сеитова указывают на необходимость соответствия данных в задаче реальной действительности (цены, размеры, статистические показатели) и значимости получаемого результата для самого ученика. Только в этом случае задача перестает быть дидактическим упражнением и становится инструментом познания окружающего мира</w:t>
      </w:r>
      <w:r w:rsidRPr="006D5397">
        <w:rPr>
          <w:rFonts w:ascii="Times New Roman" w:hAnsi="Times New Roman" w:cs="Times New Roman"/>
          <w:sz w:val="28"/>
          <w:szCs w:val="28"/>
        </w:rPr>
        <w:t xml:space="preserve"> [5]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199C26A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Рассмотрев различные подходы к определению практико-ориентированной задачи, в нашем исследовании мы будем ее понимать как задачу, которая представляет собой содержательную модель реальной ситуации, построенную средствами школьного курса математики, направленную на формирование у учащихся умений анализировать данные, оценивать вероятности событий и принимать обоснованные решения в условиях неопределенности. Такая задача не просто иллюстрирует теорию, а погружает ученика в контекст, близкий к его жизненному опыту (анализ результатов опроса в социальной сети или оценка шансов в игре).</w:t>
      </w:r>
    </w:p>
    <w:p w14:paraId="62C45A16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методической литературе предлагаются различные классификации практико-ориентированных задач</w:t>
      </w:r>
      <w:r w:rsidRPr="001F006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Рассмотрев основные из них и опираясь на содержание курса «Вероятность и статистика», можно выделить следующие критерии.</w:t>
      </w:r>
    </w:p>
    <w:p w14:paraId="21C0E851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 характеру отражаемой реальности:</w:t>
      </w:r>
    </w:p>
    <w:p w14:paraId="009D3B9A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задачи, моделирующие бытовые ситуации (покупки, игры, планирование времени, успеваемость);</w:t>
      </w:r>
    </w:p>
    <w:p w14:paraId="2B04440F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задачи социально-экономического содержания (анализ демографических данных, результатов опросов, статистики производства, данных о занятости);</w:t>
      </w:r>
    </w:p>
    <w:p w14:paraId="5DB3C75E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межпредметные задачи, содержащие элементы физики, биологии, географии, обществознания. </w:t>
      </w:r>
    </w:p>
    <w:p w14:paraId="54F45746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 сложности О. Б. Байкыдыров и С. М. Сеитова предлагают четыре уровня, представленных на рисунке 1</w:t>
      </w:r>
      <w:r w:rsidRPr="006D5397">
        <w:rPr>
          <w:rFonts w:ascii="Times New Roman" w:hAnsi="Times New Roman" w:cs="Times New Roman"/>
          <w:sz w:val="28"/>
          <w:szCs w:val="28"/>
        </w:rPr>
        <w:t xml:space="preserve"> [5]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CC4ECCD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9BD3C2D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BBA8409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D680025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9DA7217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C57D6B7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0D4F5C8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4E5E88C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CD2F125" wp14:editId="2379EF5C">
            <wp:simplePos x="0" y="0"/>
            <wp:positionH relativeFrom="column">
              <wp:posOffset>84709</wp:posOffset>
            </wp:positionH>
            <wp:positionV relativeFrom="paragraph">
              <wp:posOffset>123952</wp:posOffset>
            </wp:positionV>
            <wp:extent cx="5802630" cy="4595876"/>
            <wp:effectExtent l="12700" t="12700" r="13970" b="40005"/>
            <wp:wrapNone/>
            <wp:docPr id="3" name="Схема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173C77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D7799DE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0569E0F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5FA7911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503764B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0DDCB0C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7C38738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3272C8F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0E55326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8B3B38B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0FBB40F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337981D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6D36341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693A2D6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8DAA6B7" w14:textId="77777777" w:rsidR="00C60606" w:rsidRDefault="00C60606" w:rsidP="00C6060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73A6C15" w14:textId="77777777" w:rsidR="00C60606" w:rsidRDefault="00C60606" w:rsidP="00C60606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1. Классификация практико-ориентированных задач по сложности</w:t>
      </w:r>
    </w:p>
    <w:p w14:paraId="275144E9" w14:textId="77777777" w:rsidR="00C60606" w:rsidRDefault="00C60606" w:rsidP="00C60606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14:paraId="73CD6BF8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По типу действий с данными (в контексте стохастической линии) задачи можно разделить на:</w:t>
      </w:r>
    </w:p>
    <w:p w14:paraId="2AB3F451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задачи на интерпретацию данных (чтение таблиц, диаграмм, графиков реальных процессов);</w:t>
      </w:r>
    </w:p>
    <w:p w14:paraId="54B09E91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– задачи на сбор и первичную обработку данных (проведение опросов, вычисление средних значений, мер рассеивания);</w:t>
      </w:r>
    </w:p>
    <w:p w14:paraId="16C00409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задачи на оценку вероятностей и прогнозирование (расчет шансов в сериях испытаний, оценка вероятности событий в лотереях или страховании).</w:t>
      </w:r>
    </w:p>
    <w:p w14:paraId="5F677B33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Предложенная классификация допускает вариации, она позволяет учителю осознанно подбирать задания для разных этапов обучения и с учетом индивидуальных особенностей учащихся и применения дифференцированного подхода.</w:t>
      </w:r>
    </w:p>
    <w:p w14:paraId="1FEE3AA2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Включение практико-ориентированных задач в процесс обучения математике, и, в частности, в курс «Вероятность и статистика», позволяет реализовать комплекс дидактических функций:</w:t>
      </w:r>
    </w:p>
    <w:p w14:paraId="114C09EF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Мотивационная. Как отмечают И. М. Хрянина и М. А. Гаврилова, «практико-ориентированные задания позволяют ответить на традиционный вопрос школьников: «Зачем это изучать?». Видя связь абстрактных математических понятий с реальными явлениями (например, зависимость страховых взносов от вероятности наступления страхового случая), учащиеся начинают осознавать значимость предмета, что повышает их внутреннюю мотивации к учению» [</w:t>
      </w:r>
      <w:r w:rsidRPr="004E5143">
        <w:rPr>
          <w:rFonts w:ascii="Times New Roman" w:hAnsi="Times New Roman" w:cs="Times New Roman"/>
          <w:sz w:val="28"/>
          <w:szCs w:val="28"/>
        </w:rPr>
        <w:t>31</w:t>
      </w:r>
      <w:r w:rsidRPr="00657D13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D25C854" w14:textId="77777777" w:rsidR="00C60606" w:rsidRPr="00101112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Развивающая. Решение таких задач способствует формированию специфического типа мышления – стохастического, которое, как отмечалось в параграфе 1.2, включает в себя способность критически оценивать информацию, видеть случайную изменчивость и принимать решения в условиях неполноты данных. Это напрямую отражает требования ФГОС ООО к метапредметным результатам</w:t>
      </w:r>
      <w:r w:rsidRPr="004E5143">
        <w:rPr>
          <w:rFonts w:ascii="Times New Roman" w:hAnsi="Times New Roman" w:cs="Times New Roman"/>
          <w:sz w:val="28"/>
          <w:szCs w:val="28"/>
        </w:rPr>
        <w:t xml:space="preserve"> [1]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D830254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Обучающая. Практико-ориентированные задачи выступают средством применения теоретических знаний на практике. Они позволяют отработать навыки вычисления статистических характеристик, применения комбинаторных правил, использования формул сложения и умножения вероятностей на материале, максимально приближенном к реальности. Кроме </w:t>
      </w:r>
      <w:r>
        <w:rPr>
          <w:rFonts w:ascii="Times New Roman" w:hAnsi="Times New Roman" w:cs="Times New Roman"/>
          <w:sz w:val="28"/>
          <w:szCs w:val="28"/>
        </w:rPr>
        <w:lastRenderedPageBreak/>
        <w:t>того, они способствует формированию навыков математического моделирования</w:t>
      </w:r>
      <w:r w:rsidRPr="00133BC5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развитию исследовательских умений [</w:t>
      </w:r>
      <w:r w:rsidRPr="00133BC5">
        <w:rPr>
          <w:rFonts w:ascii="Times New Roman" w:hAnsi="Times New Roman" w:cs="Times New Roman"/>
          <w:sz w:val="28"/>
          <w:szCs w:val="28"/>
        </w:rPr>
        <w:t>23]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5FD12C1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Воспитательная. Если рассмотреть задачи социально-экономической направленности, основанные на реальных данных (демографические показатели, результаты выборов, данные опросов), то они приобщают учащихся к общественным интересам, формируют научную картину мира и ответственное отношение к обрабатываемой информации.</w:t>
      </w:r>
    </w:p>
    <w:p w14:paraId="18C53F79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Курс «Вероятность и статистика» в 7-9 классах обладает значительным потенциалом для системного использования практико-ориентированных задач. Это обусловлено самим содержанием курса, которое непосредственно связано с анализом данных из различных сфер жизни.</w:t>
      </w:r>
    </w:p>
    <w:p w14:paraId="6220B1C3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Федеральной рабочей программой, содержание курса структурированно по содержательно-методическим линиями, которые были рассмотрены в параграфе 1.1.</w:t>
      </w:r>
    </w:p>
    <w:p w14:paraId="1B507782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линии «представление данных и описательная статистика» учащиеся учатся читать и строить таблицы, диаграммы, графики реальных процессов. Эффективным приемом является организация мини-исследований, например, проведение в классе опроса на актуальную тему (выбор профессии, любимый школьный предмет) с последующим представление результатов в виде таблиц и диаграмм. Как показывает опыт учителей-практиков (</w:t>
      </w:r>
      <w:r w:rsidRPr="001D23AD">
        <w:rPr>
          <w:rFonts w:ascii="Times New Roman" w:hAnsi="Times New Roman" w:cs="Times New Roman"/>
          <w:sz w:val="28"/>
          <w:szCs w:val="28"/>
        </w:rPr>
        <w:t>«Презентация учебно-практической работы по вероятности и статистике "Представление статистических данных, полученных в результате опроса "Выбор профессии у выпускников школы""»</w:t>
      </w:r>
      <w:r>
        <w:rPr>
          <w:rFonts w:ascii="Times New Roman" w:hAnsi="Times New Roman" w:cs="Times New Roman"/>
          <w:sz w:val="28"/>
          <w:szCs w:val="28"/>
        </w:rPr>
        <w:t>, учитель Глазачева Г.А., г. Первоуральск, 2025 год)</w:t>
      </w:r>
      <w:r w:rsidRPr="006D5397">
        <w:rPr>
          <w:rFonts w:ascii="Times New Roman" w:hAnsi="Times New Roman" w:cs="Times New Roman"/>
          <w:sz w:val="28"/>
          <w:szCs w:val="28"/>
        </w:rPr>
        <w:t xml:space="preserve"> [15]</w:t>
      </w:r>
      <w:r>
        <w:rPr>
          <w:rFonts w:ascii="Times New Roman" w:hAnsi="Times New Roman" w:cs="Times New Roman"/>
          <w:sz w:val="28"/>
          <w:szCs w:val="28"/>
        </w:rPr>
        <w:t xml:space="preserve">, такие задания не только формируют необходимые навыки, но и вызывают живой интерес у школьников, поскольку они работают с живыми данными. В 8-9 классах эта линия дополняется задачами на вычисление дисперсии и стандартного отклонения реальных числовых наборов (например, анализ разброса цен на товары в разных магазинах или успеваемость учащихся), а также интерпретацию диаграмм рассеивания. </w:t>
      </w:r>
    </w:p>
    <w:p w14:paraId="79057EC1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Линия «Вероятность» представляет богатый материал для составления задач на реальных ситуациях. На начальном этапе (7 класс) это классические опыты с монетой и игральной костью, позволяющие интуитивно подойти к понятию частоты и вероятности. Практическая работа «частота выпадения орла», предусмотренная ФРП, – яркий пример того, как через практическое действие формируется представление о случайной изменчивости. В 8-9 классах содержание усложняется: появляются задачи на вычисление вероятностей в опытах с равновозможными исходами, на использование правил сложения и умножения вероятностей. Здесь уместно обращение к жизненным контекстам: оценка надежности работы техники, расчет вероятности выигрыша в лотерее.</w:t>
      </w:r>
    </w:p>
    <w:p w14:paraId="62DCABB8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Линия «Элементы комбинаторики» (9 класс) связана с решением задач о количестве возможных вариантов: составление расписания или графика дежурств, кодирование информации, выбор элементов из множества. Эти задачи имеют очевидную практическую значимость и позволяют учащимся видеть, как математика помогает упорядочивать и перебирать варианты в реальной жизни.</w:t>
      </w:r>
    </w:p>
    <w:p w14:paraId="46B4AA8E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Линия «Введение в теорию графов» (7-8 классы) дает возможность моделировать с помощью графов различные структуры: транспортные сети, схемы родственных связей, турнирные таблицы, что тоже носит ярко выраженный практико-ориентированный характер. </w:t>
      </w:r>
    </w:p>
    <w:p w14:paraId="1BFFD4F7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Подводя итог, можно сказать, что практико-ориентированные задачи являются не просто дополнением к теоретическому материалу, а системообразующим элементом обучения вероятности и статистике в основной школе. Они обеспечивают реализацию требований ФГОС ООО, способствуют формированию функциональной грамотности у учащихся. Разрабатываемый в рамках выпускной квалификационной работы комплект практико-ориентированных задач будет построен именно на этих принципах и охватит все содержательные линии курса для 7-9 классов. </w:t>
      </w:r>
    </w:p>
    <w:p w14:paraId="4D9B7778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0431BF8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994F015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1CB1A31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7B884FE" w14:textId="77777777" w:rsidR="00C60606" w:rsidRDefault="00C60606" w:rsidP="00C606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6D922D7" w14:textId="77777777" w:rsidR="00D051B0" w:rsidRDefault="00D051B0"/>
    <w:sectPr w:rsidR="00D05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606"/>
    <w:rsid w:val="00436984"/>
    <w:rsid w:val="00A022DE"/>
    <w:rsid w:val="00C60606"/>
    <w:rsid w:val="00D051B0"/>
    <w:rsid w:val="00E21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916244B"/>
  <w15:chartTrackingRefBased/>
  <w15:docId w15:val="{E59D234B-3CA7-044F-86DF-E00AEE4D6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06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qFormat/>
    <w:rsid w:val="00A022DE"/>
    <w:pPr>
      <w:ind w:left="708"/>
      <w:jc w:val="both"/>
    </w:pPr>
    <w:rPr>
      <w:rFonts w:ascii="Times New Roman" w:eastAsia="Calibri" w:hAnsi="Times New Roman" w:cs="Times New Roman"/>
      <w:b/>
      <w:sz w:val="28"/>
      <w:szCs w:val="28"/>
      <w:u w:val="single"/>
      <w:lang w:eastAsia="ar-SA"/>
    </w:rPr>
  </w:style>
  <w:style w:type="paragraph" w:customStyle="1" w:styleId="a3">
    <w:name w:val="Заголовки главы и пункты"/>
    <w:basedOn w:val="a4"/>
    <w:qFormat/>
    <w:rsid w:val="00E219B9"/>
    <w:pPr>
      <w:spacing w:line="360" w:lineRule="auto"/>
      <w:ind w:left="0"/>
      <w:jc w:val="center"/>
    </w:pPr>
    <w:rPr>
      <w:rFonts w:ascii="Times New Roman" w:eastAsia="Times New Roman" w:hAnsi="Times New Roman" w:cs="Times New Roman"/>
      <w:b/>
      <w:sz w:val="28"/>
      <w:szCs w:val="28"/>
    </w:rPr>
  </w:style>
  <w:style w:type="paragraph" w:styleId="a4">
    <w:name w:val="List Paragraph"/>
    <w:basedOn w:val="a"/>
    <w:uiPriority w:val="34"/>
    <w:qFormat/>
    <w:rsid w:val="00E219B9"/>
    <w:pPr>
      <w:ind w:left="720"/>
      <w:contextualSpacing/>
    </w:pPr>
  </w:style>
  <w:style w:type="paragraph" w:customStyle="1" w:styleId="a5">
    <w:name w:val="Заголовки"/>
    <w:basedOn w:val="a"/>
    <w:qFormat/>
    <w:rsid w:val="00E219B9"/>
    <w:pPr>
      <w:spacing w:after="200" w:line="276" w:lineRule="auto"/>
      <w:jc w:val="center"/>
    </w:pPr>
    <w:rPr>
      <w:rFonts w:ascii="Times New Roman" w:eastAsiaTheme="minorEastAsia" w:hAnsi="Times New Roman" w:cs="Times New Roman"/>
      <w:b/>
      <w:sz w:val="28"/>
      <w:szCs w:val="28"/>
      <w:lang w:eastAsia="ru-RU"/>
    </w:rPr>
  </w:style>
  <w:style w:type="paragraph" w:customStyle="1" w:styleId="a6">
    <w:name w:val="Для заголовков"/>
    <w:basedOn w:val="a"/>
    <w:qFormat/>
    <w:rsid w:val="00C60606"/>
    <w:pPr>
      <w:spacing w:line="360" w:lineRule="auto"/>
      <w:jc w:val="center"/>
    </w:pPr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5" Type="http://schemas.openxmlformats.org/officeDocument/2006/relationships/diagramLayout" Target="diagrams/layout1.xml"/><Relationship Id="rId10" Type="http://schemas.openxmlformats.org/officeDocument/2006/relationships/theme" Target="theme/theme1.xml"/><Relationship Id="rId4" Type="http://schemas.openxmlformats.org/officeDocument/2006/relationships/diagramData" Target="diagrams/data1.xml"/><Relationship Id="rId9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60CAC4D-3662-4F48-AE8F-947631C40043}" type="doc">
      <dgm:prSet loTypeId="urn:microsoft.com/office/officeart/2005/8/layout/process4" loCatId="" qsTypeId="urn:microsoft.com/office/officeart/2005/8/quickstyle/simple2" qsCatId="simple" csTypeId="urn:microsoft.com/office/officeart/2005/8/colors/accent0_1" csCatId="mainScheme" phldr="1"/>
      <dgm:spPr/>
      <dgm:t>
        <a:bodyPr/>
        <a:lstStyle/>
        <a:p>
          <a:endParaRPr lang="ru-RU"/>
        </a:p>
      </dgm:t>
    </dgm:pt>
    <dgm:pt modelId="{D6EC305B-CC62-2044-A9E6-D96A190B8543}">
      <dgm:prSet custT="1"/>
      <dgm:spPr/>
      <dgm:t>
        <a:bodyPr/>
        <a:lstStyle/>
        <a:p>
          <a:pPr algn="ctr"/>
          <a:r>
            <a:rPr lang="ru-RU" sz="1400" b="1">
              <a:latin typeface="Times New Roman" panose="02020603050405020304" pitchFamily="18" charset="0"/>
              <a:cs typeface="Times New Roman" panose="02020603050405020304" pitchFamily="18" charset="0"/>
            </a:rPr>
            <a:t>Практико-ориентированные задачи </a:t>
          </a:r>
        </a:p>
      </dgm:t>
    </dgm:pt>
    <dgm:pt modelId="{7EC85B6B-16A2-D242-8701-C51505D6933F}" type="parTrans" cxnId="{F471FEA3-1D87-054B-8C45-DC5C276B5EF4}">
      <dgm:prSet/>
      <dgm:spPr/>
      <dgm:t>
        <a:bodyPr/>
        <a:lstStyle/>
        <a:p>
          <a:pPr algn="ctr"/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6E438FCE-70AC-D74D-8A16-798445F4D855}" type="sibTrans" cxnId="{F471FEA3-1D87-054B-8C45-DC5C276B5EF4}">
      <dgm:prSet/>
      <dgm:spPr/>
      <dgm:t>
        <a:bodyPr/>
        <a:lstStyle/>
        <a:p>
          <a:pPr algn="ctr"/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BC909E09-C470-F14A-A5C6-90ADBFEEE1D6}">
      <dgm:prSet custT="1"/>
      <dgm:spPr/>
      <dgm:t>
        <a:bodyPr/>
        <a:lstStyle/>
        <a:p>
          <a:pPr algn="ctr"/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1 уровень</a:t>
          </a:r>
          <a:b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</a:br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Задачи, требующие одной математической идеи в рамках предмета</a:t>
          </a:r>
        </a:p>
      </dgm:t>
    </dgm:pt>
    <dgm:pt modelId="{DF3CA928-8C0A-A44C-951F-4EAAC7C7BA45}" type="parTrans" cxnId="{86BDD12D-D7EC-C647-913F-5558EE296084}">
      <dgm:prSet/>
      <dgm:spPr/>
      <dgm:t>
        <a:bodyPr/>
        <a:lstStyle/>
        <a:p>
          <a:pPr algn="ctr"/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5C560E35-7F12-A448-BD62-CCCA1F30B72D}" type="sibTrans" cxnId="{86BDD12D-D7EC-C647-913F-5558EE296084}">
      <dgm:prSet/>
      <dgm:spPr/>
      <dgm:t>
        <a:bodyPr/>
        <a:lstStyle/>
        <a:p>
          <a:pPr algn="ctr"/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FF7E8360-385E-A041-974E-09713AC45E6D}">
      <dgm:prSet custT="1"/>
      <dgm:spPr/>
      <dgm:t>
        <a:bodyPr/>
        <a:lstStyle/>
        <a:p>
          <a:pPr algn="ctr"/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2 уровень </a:t>
          </a:r>
          <a:b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</a:br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Задачи, требующие комбинации нескольких идей из разных разделов математики</a:t>
          </a:r>
        </a:p>
      </dgm:t>
    </dgm:pt>
    <dgm:pt modelId="{636E2F31-1C72-9944-9C48-33123EE7342B}" type="parTrans" cxnId="{48A1CD4E-0B95-5044-AAF4-1547B3EEC42C}">
      <dgm:prSet/>
      <dgm:spPr/>
      <dgm:t>
        <a:bodyPr/>
        <a:lstStyle/>
        <a:p>
          <a:pPr algn="ctr"/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3F8A1E89-CBEE-6E42-97C8-BA7BB9F5349D}" type="sibTrans" cxnId="{48A1CD4E-0B95-5044-AAF4-1547B3EEC42C}">
      <dgm:prSet/>
      <dgm:spPr/>
      <dgm:t>
        <a:bodyPr/>
        <a:lstStyle/>
        <a:p>
          <a:pPr algn="ctr"/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45FDE039-C1D4-C043-8751-9763E16A0F93}">
      <dgm:prSet custT="1"/>
      <dgm:spPr/>
      <dgm:t>
        <a:bodyPr/>
        <a:lstStyle/>
        <a:p>
          <a:pPr algn="ctr"/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3 уровень </a:t>
          </a:r>
          <a:b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</a:br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Задачи, требующие нестандартных способов решения и «переформулирования» условия</a:t>
          </a:r>
        </a:p>
      </dgm:t>
    </dgm:pt>
    <dgm:pt modelId="{9F60D993-631F-3E4C-A95A-F431C6732CBF}" type="parTrans" cxnId="{70FEAD4E-8445-B44D-B5B3-F8E3FE5D6CC7}">
      <dgm:prSet/>
      <dgm:spPr/>
      <dgm:t>
        <a:bodyPr/>
        <a:lstStyle/>
        <a:p>
          <a:pPr algn="ctr"/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B7B0BA07-E377-3A40-BFB5-E351FC1146BA}" type="sibTrans" cxnId="{70FEAD4E-8445-B44D-B5B3-F8E3FE5D6CC7}">
      <dgm:prSet/>
      <dgm:spPr/>
      <dgm:t>
        <a:bodyPr/>
        <a:lstStyle/>
        <a:p>
          <a:pPr algn="ctr"/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3E1B77C2-C959-6349-8AE3-FA42ABE2C17A}">
      <dgm:prSet custT="1"/>
      <dgm:spPr/>
      <dgm:t>
        <a:bodyPr/>
        <a:lstStyle/>
        <a:p>
          <a:pPr algn="ctr"/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4 уровень </a:t>
          </a:r>
          <a:b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</a:br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Задачи исследовательского характера, связанные с построением математической модели </a:t>
          </a:r>
        </a:p>
      </dgm:t>
    </dgm:pt>
    <dgm:pt modelId="{B0642B91-95D7-4046-8B84-DD678E76AEBA}" type="sibTrans" cxnId="{3BD5736A-C53E-5F44-83A1-C1728A404339}">
      <dgm:prSet/>
      <dgm:spPr/>
      <dgm:t>
        <a:bodyPr/>
        <a:lstStyle/>
        <a:p>
          <a:pPr algn="ctr"/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634D8B23-6CB7-C64A-AC05-CB7466C07DA1}" type="parTrans" cxnId="{3BD5736A-C53E-5F44-83A1-C1728A404339}">
      <dgm:prSet/>
      <dgm:spPr/>
      <dgm:t>
        <a:bodyPr/>
        <a:lstStyle/>
        <a:p>
          <a:pPr algn="ctr"/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502467AE-235A-E241-B14B-3F6C659846C3}" type="pres">
      <dgm:prSet presAssocID="{C60CAC4D-3662-4F48-AE8F-947631C40043}" presName="Name0" presStyleCnt="0">
        <dgm:presLayoutVars>
          <dgm:dir/>
          <dgm:animLvl val="lvl"/>
          <dgm:resizeHandles val="exact"/>
        </dgm:presLayoutVars>
      </dgm:prSet>
      <dgm:spPr/>
    </dgm:pt>
    <dgm:pt modelId="{C9B95FC8-5887-D142-B7B6-6CE4A1589C6B}" type="pres">
      <dgm:prSet presAssocID="{3E1B77C2-C959-6349-8AE3-FA42ABE2C17A}" presName="boxAndChildren" presStyleCnt="0"/>
      <dgm:spPr/>
    </dgm:pt>
    <dgm:pt modelId="{F1487B02-7880-184D-8EAB-5FE4B14373A9}" type="pres">
      <dgm:prSet presAssocID="{3E1B77C2-C959-6349-8AE3-FA42ABE2C17A}" presName="parentTextBox" presStyleLbl="node1" presStyleIdx="0" presStyleCnt="5"/>
      <dgm:spPr/>
    </dgm:pt>
    <dgm:pt modelId="{1EFBC30F-D60D-2F48-B973-CF4D6F70D3AC}" type="pres">
      <dgm:prSet presAssocID="{B7B0BA07-E377-3A40-BFB5-E351FC1146BA}" presName="sp" presStyleCnt="0"/>
      <dgm:spPr/>
    </dgm:pt>
    <dgm:pt modelId="{98A42750-41B5-9B4E-9461-CF3FE246F9DF}" type="pres">
      <dgm:prSet presAssocID="{45FDE039-C1D4-C043-8751-9763E16A0F93}" presName="arrowAndChildren" presStyleCnt="0"/>
      <dgm:spPr/>
    </dgm:pt>
    <dgm:pt modelId="{1661240C-28B5-AE49-A7A6-682739639617}" type="pres">
      <dgm:prSet presAssocID="{45FDE039-C1D4-C043-8751-9763E16A0F93}" presName="parentTextArrow" presStyleLbl="node1" presStyleIdx="1" presStyleCnt="5"/>
      <dgm:spPr/>
    </dgm:pt>
    <dgm:pt modelId="{D243FB52-B027-FE4E-A5E0-B7AF1FA277B7}" type="pres">
      <dgm:prSet presAssocID="{3F8A1E89-CBEE-6E42-97C8-BA7BB9F5349D}" presName="sp" presStyleCnt="0"/>
      <dgm:spPr/>
    </dgm:pt>
    <dgm:pt modelId="{6E5C7835-1F43-4748-B5C4-E0198F67A8AB}" type="pres">
      <dgm:prSet presAssocID="{FF7E8360-385E-A041-974E-09713AC45E6D}" presName="arrowAndChildren" presStyleCnt="0"/>
      <dgm:spPr/>
    </dgm:pt>
    <dgm:pt modelId="{66F71983-0DCE-9042-8F0A-EB3A388473B0}" type="pres">
      <dgm:prSet presAssocID="{FF7E8360-385E-A041-974E-09713AC45E6D}" presName="parentTextArrow" presStyleLbl="node1" presStyleIdx="2" presStyleCnt="5"/>
      <dgm:spPr/>
    </dgm:pt>
    <dgm:pt modelId="{0930EB44-75BF-6843-ADDA-062975A96B1A}" type="pres">
      <dgm:prSet presAssocID="{5C560E35-7F12-A448-BD62-CCCA1F30B72D}" presName="sp" presStyleCnt="0"/>
      <dgm:spPr/>
    </dgm:pt>
    <dgm:pt modelId="{4563188F-A5B4-B447-B677-52A878D8A451}" type="pres">
      <dgm:prSet presAssocID="{BC909E09-C470-F14A-A5C6-90ADBFEEE1D6}" presName="arrowAndChildren" presStyleCnt="0"/>
      <dgm:spPr/>
    </dgm:pt>
    <dgm:pt modelId="{BB1D6A04-D4A9-8C44-A3A7-2C06204632C7}" type="pres">
      <dgm:prSet presAssocID="{BC909E09-C470-F14A-A5C6-90ADBFEEE1D6}" presName="parentTextArrow" presStyleLbl="node1" presStyleIdx="3" presStyleCnt="5"/>
      <dgm:spPr/>
    </dgm:pt>
    <dgm:pt modelId="{3CEF88E8-B56B-9442-86F2-9BC73458C5CF}" type="pres">
      <dgm:prSet presAssocID="{6E438FCE-70AC-D74D-8A16-798445F4D855}" presName="sp" presStyleCnt="0"/>
      <dgm:spPr/>
    </dgm:pt>
    <dgm:pt modelId="{986CB317-B130-B340-A529-4951137DA07B}" type="pres">
      <dgm:prSet presAssocID="{D6EC305B-CC62-2044-A9E6-D96A190B8543}" presName="arrowAndChildren" presStyleCnt="0"/>
      <dgm:spPr/>
    </dgm:pt>
    <dgm:pt modelId="{A3D41515-CFC8-A54F-B49B-31C2310529BD}" type="pres">
      <dgm:prSet presAssocID="{D6EC305B-CC62-2044-A9E6-D96A190B8543}" presName="parentTextArrow" presStyleLbl="node1" presStyleIdx="4" presStyleCnt="5"/>
      <dgm:spPr/>
    </dgm:pt>
  </dgm:ptLst>
  <dgm:cxnLst>
    <dgm:cxn modelId="{86BDD12D-D7EC-C647-913F-5558EE296084}" srcId="{C60CAC4D-3662-4F48-AE8F-947631C40043}" destId="{BC909E09-C470-F14A-A5C6-90ADBFEEE1D6}" srcOrd="1" destOrd="0" parTransId="{DF3CA928-8C0A-A44C-951F-4EAAC7C7BA45}" sibTransId="{5C560E35-7F12-A448-BD62-CCCA1F30B72D}"/>
    <dgm:cxn modelId="{ED01204D-9939-7143-9140-5283D3DBE2DA}" type="presOf" srcId="{3E1B77C2-C959-6349-8AE3-FA42ABE2C17A}" destId="{F1487B02-7880-184D-8EAB-5FE4B14373A9}" srcOrd="0" destOrd="0" presId="urn:microsoft.com/office/officeart/2005/8/layout/process4"/>
    <dgm:cxn modelId="{70FEAD4E-8445-B44D-B5B3-F8E3FE5D6CC7}" srcId="{C60CAC4D-3662-4F48-AE8F-947631C40043}" destId="{45FDE039-C1D4-C043-8751-9763E16A0F93}" srcOrd="3" destOrd="0" parTransId="{9F60D993-631F-3E4C-A95A-F431C6732CBF}" sibTransId="{B7B0BA07-E377-3A40-BFB5-E351FC1146BA}"/>
    <dgm:cxn modelId="{48A1CD4E-0B95-5044-AAF4-1547B3EEC42C}" srcId="{C60CAC4D-3662-4F48-AE8F-947631C40043}" destId="{FF7E8360-385E-A041-974E-09713AC45E6D}" srcOrd="2" destOrd="0" parTransId="{636E2F31-1C72-9944-9C48-33123EE7342B}" sibTransId="{3F8A1E89-CBEE-6E42-97C8-BA7BB9F5349D}"/>
    <dgm:cxn modelId="{1FCEBA57-6E02-8C4A-86B6-AF12BDEB9CEF}" type="presOf" srcId="{FF7E8360-385E-A041-974E-09713AC45E6D}" destId="{66F71983-0DCE-9042-8F0A-EB3A388473B0}" srcOrd="0" destOrd="0" presId="urn:microsoft.com/office/officeart/2005/8/layout/process4"/>
    <dgm:cxn modelId="{6AB60562-D8FE-6440-B755-D157C83341BC}" type="presOf" srcId="{45FDE039-C1D4-C043-8751-9763E16A0F93}" destId="{1661240C-28B5-AE49-A7A6-682739639617}" srcOrd="0" destOrd="0" presId="urn:microsoft.com/office/officeart/2005/8/layout/process4"/>
    <dgm:cxn modelId="{55D4D263-FEF7-B840-8AF5-98CB8CB86AD1}" type="presOf" srcId="{C60CAC4D-3662-4F48-AE8F-947631C40043}" destId="{502467AE-235A-E241-B14B-3F6C659846C3}" srcOrd="0" destOrd="0" presId="urn:microsoft.com/office/officeart/2005/8/layout/process4"/>
    <dgm:cxn modelId="{3BD5736A-C53E-5F44-83A1-C1728A404339}" srcId="{C60CAC4D-3662-4F48-AE8F-947631C40043}" destId="{3E1B77C2-C959-6349-8AE3-FA42ABE2C17A}" srcOrd="4" destOrd="0" parTransId="{634D8B23-6CB7-C64A-AC05-CB7466C07DA1}" sibTransId="{B0642B91-95D7-4046-8B84-DD678E76AEBA}"/>
    <dgm:cxn modelId="{1C7265A0-0C47-734F-B02F-9921F0D770E1}" type="presOf" srcId="{BC909E09-C470-F14A-A5C6-90ADBFEEE1D6}" destId="{BB1D6A04-D4A9-8C44-A3A7-2C06204632C7}" srcOrd="0" destOrd="0" presId="urn:microsoft.com/office/officeart/2005/8/layout/process4"/>
    <dgm:cxn modelId="{F471FEA3-1D87-054B-8C45-DC5C276B5EF4}" srcId="{C60CAC4D-3662-4F48-AE8F-947631C40043}" destId="{D6EC305B-CC62-2044-A9E6-D96A190B8543}" srcOrd="0" destOrd="0" parTransId="{7EC85B6B-16A2-D242-8701-C51505D6933F}" sibTransId="{6E438FCE-70AC-D74D-8A16-798445F4D855}"/>
    <dgm:cxn modelId="{FC5B64B3-F0AA-2A40-B845-0716DF1FE6A9}" type="presOf" srcId="{D6EC305B-CC62-2044-A9E6-D96A190B8543}" destId="{A3D41515-CFC8-A54F-B49B-31C2310529BD}" srcOrd="0" destOrd="0" presId="urn:microsoft.com/office/officeart/2005/8/layout/process4"/>
    <dgm:cxn modelId="{2E8BA6EC-19B1-6F4D-AF42-80362A7F2CA4}" type="presParOf" srcId="{502467AE-235A-E241-B14B-3F6C659846C3}" destId="{C9B95FC8-5887-D142-B7B6-6CE4A1589C6B}" srcOrd="0" destOrd="0" presId="urn:microsoft.com/office/officeart/2005/8/layout/process4"/>
    <dgm:cxn modelId="{97E43735-8FA7-734A-927F-8542FF2B0B25}" type="presParOf" srcId="{C9B95FC8-5887-D142-B7B6-6CE4A1589C6B}" destId="{F1487B02-7880-184D-8EAB-5FE4B14373A9}" srcOrd="0" destOrd="0" presId="urn:microsoft.com/office/officeart/2005/8/layout/process4"/>
    <dgm:cxn modelId="{8C393D3A-977E-CD4E-A212-489A4C0FB3FD}" type="presParOf" srcId="{502467AE-235A-E241-B14B-3F6C659846C3}" destId="{1EFBC30F-D60D-2F48-B973-CF4D6F70D3AC}" srcOrd="1" destOrd="0" presId="urn:microsoft.com/office/officeart/2005/8/layout/process4"/>
    <dgm:cxn modelId="{977974A9-CD20-EC41-B7ED-17751EBFDDE7}" type="presParOf" srcId="{502467AE-235A-E241-B14B-3F6C659846C3}" destId="{98A42750-41B5-9B4E-9461-CF3FE246F9DF}" srcOrd="2" destOrd="0" presId="urn:microsoft.com/office/officeart/2005/8/layout/process4"/>
    <dgm:cxn modelId="{81B9D78E-2C00-2248-81C6-00A5CA2F4872}" type="presParOf" srcId="{98A42750-41B5-9B4E-9461-CF3FE246F9DF}" destId="{1661240C-28B5-AE49-A7A6-682739639617}" srcOrd="0" destOrd="0" presId="urn:microsoft.com/office/officeart/2005/8/layout/process4"/>
    <dgm:cxn modelId="{1168F672-400C-244E-9A01-5C23421EBB05}" type="presParOf" srcId="{502467AE-235A-E241-B14B-3F6C659846C3}" destId="{D243FB52-B027-FE4E-A5E0-B7AF1FA277B7}" srcOrd="3" destOrd="0" presId="urn:microsoft.com/office/officeart/2005/8/layout/process4"/>
    <dgm:cxn modelId="{C2A6CCA5-EBB5-1746-8D8C-8350F7786333}" type="presParOf" srcId="{502467AE-235A-E241-B14B-3F6C659846C3}" destId="{6E5C7835-1F43-4748-B5C4-E0198F67A8AB}" srcOrd="4" destOrd="0" presId="urn:microsoft.com/office/officeart/2005/8/layout/process4"/>
    <dgm:cxn modelId="{FAC7F304-28F5-6C40-91FB-D883F950601E}" type="presParOf" srcId="{6E5C7835-1F43-4748-B5C4-E0198F67A8AB}" destId="{66F71983-0DCE-9042-8F0A-EB3A388473B0}" srcOrd="0" destOrd="0" presId="urn:microsoft.com/office/officeart/2005/8/layout/process4"/>
    <dgm:cxn modelId="{51AB5A41-1B34-1B44-ADAE-99811B009DBB}" type="presParOf" srcId="{502467AE-235A-E241-B14B-3F6C659846C3}" destId="{0930EB44-75BF-6843-ADDA-062975A96B1A}" srcOrd="5" destOrd="0" presId="urn:microsoft.com/office/officeart/2005/8/layout/process4"/>
    <dgm:cxn modelId="{B8B9829F-4326-0045-BBBF-2591388FE51D}" type="presParOf" srcId="{502467AE-235A-E241-B14B-3F6C659846C3}" destId="{4563188F-A5B4-B447-B677-52A878D8A451}" srcOrd="6" destOrd="0" presId="urn:microsoft.com/office/officeart/2005/8/layout/process4"/>
    <dgm:cxn modelId="{AF7433B4-23D8-2D4F-81D8-2D3315070808}" type="presParOf" srcId="{4563188F-A5B4-B447-B677-52A878D8A451}" destId="{BB1D6A04-D4A9-8C44-A3A7-2C06204632C7}" srcOrd="0" destOrd="0" presId="urn:microsoft.com/office/officeart/2005/8/layout/process4"/>
    <dgm:cxn modelId="{D4D1CDE9-61E8-6447-950C-DE4E41F49EB3}" type="presParOf" srcId="{502467AE-235A-E241-B14B-3F6C659846C3}" destId="{3CEF88E8-B56B-9442-86F2-9BC73458C5CF}" srcOrd="7" destOrd="0" presId="urn:microsoft.com/office/officeart/2005/8/layout/process4"/>
    <dgm:cxn modelId="{91DE8E9B-6008-F944-A2F0-E45F1A6C12E5}" type="presParOf" srcId="{502467AE-235A-E241-B14B-3F6C659846C3}" destId="{986CB317-B130-B340-A529-4951137DA07B}" srcOrd="8" destOrd="0" presId="urn:microsoft.com/office/officeart/2005/8/layout/process4"/>
    <dgm:cxn modelId="{5F60715F-7B69-8040-85F3-CF500BE3EAB6}" type="presParOf" srcId="{986CB317-B130-B340-A529-4951137DA07B}" destId="{A3D41515-CFC8-A54F-B49B-31C2310529BD}" srcOrd="0" destOrd="0" presId="urn:microsoft.com/office/officeart/2005/8/layout/process4"/>
  </dgm:cxnLst>
  <dgm:bg/>
  <dgm:whole/>
  <dgm:extLst>
    <a:ext uri="http://schemas.microsoft.com/office/drawing/2008/diagram">
      <dsp:dataModelExt xmlns:dsp="http://schemas.microsoft.com/office/drawing/2008/diagram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1487B02-7880-184D-8EAB-5FE4B14373A9}">
      <dsp:nvSpPr>
        <dsp:cNvPr id="0" name=""/>
        <dsp:cNvSpPr/>
      </dsp:nvSpPr>
      <dsp:spPr>
        <a:xfrm>
          <a:off x="0" y="3945934"/>
          <a:ext cx="5802630" cy="64736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4 уровень </a:t>
          </a:r>
          <a:b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</a:b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Задачи исследовательского характера, связанные с построением математической модели </a:t>
          </a:r>
        </a:p>
      </dsp:txBody>
      <dsp:txXfrm>
        <a:off x="0" y="3945934"/>
        <a:ext cx="5802630" cy="647363"/>
      </dsp:txXfrm>
    </dsp:sp>
    <dsp:sp modelId="{1661240C-28B5-AE49-A7A6-682739639617}">
      <dsp:nvSpPr>
        <dsp:cNvPr id="0" name=""/>
        <dsp:cNvSpPr/>
      </dsp:nvSpPr>
      <dsp:spPr>
        <a:xfrm rot="10800000">
          <a:off x="0" y="2960000"/>
          <a:ext cx="5802630" cy="995644"/>
        </a:xfrm>
        <a:prstGeom prst="upArrowCallou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3 уровень </a:t>
          </a:r>
          <a:b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</a:b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Задачи, требующие нестандартных способов решения и «переформулирования» условия</a:t>
          </a:r>
        </a:p>
      </dsp:txBody>
      <dsp:txXfrm rot="10800000">
        <a:off x="0" y="2960000"/>
        <a:ext cx="5802630" cy="646940"/>
      </dsp:txXfrm>
    </dsp:sp>
    <dsp:sp modelId="{66F71983-0DCE-9042-8F0A-EB3A388473B0}">
      <dsp:nvSpPr>
        <dsp:cNvPr id="0" name=""/>
        <dsp:cNvSpPr/>
      </dsp:nvSpPr>
      <dsp:spPr>
        <a:xfrm rot="10800000">
          <a:off x="0" y="1974065"/>
          <a:ext cx="5802630" cy="995644"/>
        </a:xfrm>
        <a:prstGeom prst="upArrowCallou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2 уровень </a:t>
          </a:r>
          <a:b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</a:b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Задачи, требующие комбинации нескольких идей из разных разделов математики</a:t>
          </a:r>
        </a:p>
      </dsp:txBody>
      <dsp:txXfrm rot="10800000">
        <a:off x="0" y="1974065"/>
        <a:ext cx="5802630" cy="646940"/>
      </dsp:txXfrm>
    </dsp:sp>
    <dsp:sp modelId="{BB1D6A04-D4A9-8C44-A3A7-2C06204632C7}">
      <dsp:nvSpPr>
        <dsp:cNvPr id="0" name=""/>
        <dsp:cNvSpPr/>
      </dsp:nvSpPr>
      <dsp:spPr>
        <a:xfrm rot="10800000">
          <a:off x="0" y="988131"/>
          <a:ext cx="5802630" cy="995644"/>
        </a:xfrm>
        <a:prstGeom prst="upArrowCallou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1 уровень</a:t>
          </a:r>
          <a:b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</a:b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Задачи, требующие одной математической идеи в рамках предмета</a:t>
          </a:r>
        </a:p>
      </dsp:txBody>
      <dsp:txXfrm rot="10800000">
        <a:off x="0" y="988131"/>
        <a:ext cx="5802630" cy="646940"/>
      </dsp:txXfrm>
    </dsp:sp>
    <dsp:sp modelId="{A3D41515-CFC8-A54F-B49B-31C2310529BD}">
      <dsp:nvSpPr>
        <dsp:cNvPr id="0" name=""/>
        <dsp:cNvSpPr/>
      </dsp:nvSpPr>
      <dsp:spPr>
        <a:xfrm rot="10800000">
          <a:off x="0" y="2196"/>
          <a:ext cx="5802630" cy="995644"/>
        </a:xfrm>
        <a:prstGeom prst="upArrowCallou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Практико-ориентированные задачи </a:t>
          </a:r>
        </a:p>
      </dsp:txBody>
      <dsp:txXfrm rot="10800000">
        <a:off x="0" y="2196"/>
        <a:ext cx="5802630" cy="64694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4">
  <dgm:title val=""/>
  <dgm:desc val=""/>
  <dgm:catLst>
    <dgm:cat type="process" pri="16000"/>
    <dgm:cat type="list" pri="2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alg type="lin">
      <dgm:param type="linDir" val="fromB"/>
    </dgm:alg>
    <dgm:shape xmlns:r="http://schemas.openxmlformats.org/officeDocument/2006/relationships" r:blip="">
      <dgm:adjLst/>
    </dgm:shape>
    <dgm:presOf/>
    <dgm:constrLst>
      <dgm:constr type="h" for="ch" forName="boxAndChildren" refType="h"/>
      <dgm:constr type="h" for="ch" forName="arrowAndChildren" refType="h" refFor="ch" refForName="boxAndChildren" op="equ" fact="1.538"/>
      <dgm:constr type="w" for="ch" forName="arrowAndChildren" refType="w"/>
      <dgm:constr type="w" for="ch" forName="boxAndChildren" refType="w"/>
      <dgm:constr type="h" for="ch" forName="sp" refType="h" fact="-0.015"/>
      <dgm:constr type="primFontSz" for="des" forName="parentTextBox" val="65"/>
      <dgm:constr type="primFontSz" for="des" forName="parentTextArrow" refType="primFontSz" refFor="des" refForName="parentTextBox" op="equ"/>
      <dgm:constr type="primFontSz" for="des" forName="childTextArrow" val="65"/>
      <dgm:constr type="primFontSz" for="des" forName="childTextBox" refType="primFontSz" refFor="des" refForName="childTextArrow" op="equ"/>
    </dgm:constrLst>
    <dgm:ruleLst/>
    <dgm:forEach name="Name1" axis="ch" ptType="node" st="-1" step="-1">
      <dgm:choose name="Name2">
        <dgm:if name="Name3" axis="self" ptType="node" func="revPos" op="equ" val="1">
          <dgm:layoutNode name="boxAndChildren">
            <dgm:alg type="composite"/>
            <dgm:shape xmlns:r="http://schemas.openxmlformats.org/officeDocument/2006/relationships" r:blip="">
              <dgm:adjLst/>
            </dgm:shape>
            <dgm:presOf/>
            <dgm:choose name="Name4">
              <dgm:if name="Name5" axis="ch" ptType="node" func="cnt" op="gte" val="1">
                <dgm:constrLst>
                  <dgm:constr type="w" for="ch" forName="parentTextBox" refType="w"/>
                  <dgm:constr type="h" for="ch" forName="parentTextBox" refType="h" fact="0.54"/>
                  <dgm:constr type="t" for="ch" forName="parentTextBox"/>
                  <dgm:constr type="w" for="ch" forName="entireBox" refType="w"/>
                  <dgm:constr type="h" for="ch" forName="entireBox" refType="h"/>
                  <dgm:constr type="w" for="ch" forName="descendantBox" refType="w"/>
                  <dgm:constr type="b" for="ch" forName="descendantBox" refType="h" fact="0.98"/>
                  <dgm:constr type="h" for="ch" forName="descendantBox" refType="h" fact="0.46"/>
                </dgm:constrLst>
              </dgm:if>
              <dgm:else name="Name6">
                <dgm:constrLst>
                  <dgm:constr type="w" for="ch" forName="parentTextBox" refType="w"/>
                  <dgm:constr type="h" for="ch" forName="parentTextBox" refType="h"/>
                </dgm:constrLst>
              </dgm:else>
            </dgm:choose>
            <dgm:ruleLst/>
            <dgm:layoutNode name="parentTextBox">
              <dgm:alg type="tx"/>
              <dgm:choose name="Name7">
                <dgm:if name="Name8" axis="ch" ptType="node" func="cnt" op="gte" val="1">
                  <dgm:shape xmlns:r="http://schemas.openxmlformats.org/officeDocument/2006/relationships" type="rect" r:blip="" zOrderOff="1" hideGeom="1">
                    <dgm:adjLst/>
                  </dgm:shape>
                </dgm:if>
                <dgm:else name="Name9">
                  <dgm:shape xmlns:r="http://schemas.openxmlformats.org/officeDocument/2006/relationships" type="rect" r:blip="">
                    <dgm:adjLst/>
                  </dgm:shape>
                </dgm:else>
              </dgm:choose>
              <dgm:presOf axis="self"/>
              <dgm:constrLst/>
              <dgm:ruleLst>
                <dgm:rule type="primFontSz" val="5" fact="NaN" max="NaN"/>
              </dgm:ruleLst>
            </dgm:layoutNode>
            <dgm:choose name="Name10">
              <dgm:if name="Name11" axis="ch" ptType="node" func="cnt" op="gte" val="1">
                <dgm:layoutNode name="entireBox">
                  <dgm:alg type="sp"/>
                  <dgm:shape xmlns:r="http://schemas.openxmlformats.org/officeDocument/2006/relationships" type="rect" r:blip="">
                    <dgm:adjLst/>
                  </dgm:shape>
                  <dgm:presOf axis="self"/>
                  <dgm:constrLst/>
                  <dgm:ruleLst/>
                </dgm:layoutNode>
                <dgm:layoutNode name="descendantBox" styleLbl="fgAccFollowNode1">
                  <dgm:choose name="Name12">
                    <dgm:if name="Name13" func="var" arg="dir" op="equ" val="norm">
                      <dgm:alg type="lin"/>
                    </dgm:if>
                    <dgm:else name="Name14">
                      <dgm:alg type="lin">
                        <dgm:param type="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for="ch" forName="childTextBox" refType="w"/>
                    <dgm:constr type="h" for="ch" forName="childTextBox" refType="h"/>
                  </dgm:constrLst>
                  <dgm:ruleLst/>
                  <dgm:forEach name="Name15" axis="ch" ptType="node">
                    <dgm:layoutNode name="childTextBox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rect" r:blip="">
                        <dgm:adjLst/>
                      </dgm:shape>
                      <dgm:presOf axis="desOrSelf" ptType="node"/>
                      <dgm:constrLst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</dgm:forEach>
                </dgm:layoutNode>
              </dgm:if>
              <dgm:else name="Name16"/>
            </dgm:choose>
          </dgm:layoutNode>
        </dgm:if>
        <dgm:else name="Name17">
          <dgm:layoutNode name="arrowAndChildren">
            <dgm:alg type="composite"/>
            <dgm:shape xmlns:r="http://schemas.openxmlformats.org/officeDocument/2006/relationships" r:blip="">
              <dgm:adjLst/>
            </dgm:shape>
            <dgm:presOf/>
            <dgm:choose name="Name18">
              <dgm:if name="Name19" axis="ch" ptType="node" func="cnt" op="gte" val="1">
                <dgm:constrLst>
                  <dgm:constr type="w" for="ch" forName="parentTextArrow" refType="w"/>
                  <dgm:constr type="t" for="ch" forName="parentTextArrow"/>
                  <dgm:constr type="h" for="ch" forName="parentTextArrow" refType="h" fact="0.351"/>
                  <dgm:constr type="w" for="ch" forName="arrow" refType="w"/>
                  <dgm:constr type="h" for="ch" forName="arrow" refType="h"/>
                  <dgm:constr type="w" for="ch" forName="descendantArrow" refType="w"/>
                  <dgm:constr type="b" for="ch" forName="descendantArrow" refType="h" fact="0.65"/>
                  <dgm:constr type="h" for="ch" forName="descendantArrow" refType="h" fact="0.299"/>
                </dgm:constrLst>
              </dgm:if>
              <dgm:else name="Name20">
                <dgm:constrLst>
                  <dgm:constr type="w" for="ch" forName="parentTextArrow" refType="w"/>
                  <dgm:constr type="h" for="ch" forName="parentTextArrow" refType="h"/>
                </dgm:constrLst>
              </dgm:else>
            </dgm:choose>
            <dgm:ruleLst/>
            <dgm:layoutNode name="parentTextArrow">
              <dgm:alg type="tx"/>
              <dgm:choose name="Name21">
                <dgm:if name="Name22" axis="ch" ptType="node" func="cnt" op="gte" val="1">
                  <dgm:shape xmlns:r="http://schemas.openxmlformats.org/officeDocument/2006/relationships" type="rect" r:blip="" zOrderOff="1" hideGeom="1">
                    <dgm:adjLst/>
                  </dgm:shape>
                </dgm:if>
                <dgm:else name="Name23">
                  <dgm:shape xmlns:r="http://schemas.openxmlformats.org/officeDocument/2006/relationships" rot="180" type="upArrowCallout" r:blip="">
                    <dgm:adjLst/>
                  </dgm:shape>
                </dgm:else>
              </dgm:choose>
              <dgm:presOf axis="self"/>
              <dgm:constrLst/>
              <dgm:ruleLst>
                <dgm:rule type="primFontSz" val="5" fact="NaN" max="NaN"/>
              </dgm:ruleLst>
            </dgm:layoutNode>
            <dgm:choose name="Name24">
              <dgm:if name="Name25" axis="ch" ptType="node" func="cnt" op="gte" val="1">
                <dgm:layoutNode name="arrow">
                  <dgm:alg type="sp"/>
                  <dgm:shape xmlns:r="http://schemas.openxmlformats.org/officeDocument/2006/relationships" rot="180" type="upArrowCallout" r:blip="">
                    <dgm:adjLst/>
                  </dgm:shape>
                  <dgm:presOf axis="self"/>
                  <dgm:constrLst/>
                  <dgm:ruleLst/>
                </dgm:layoutNode>
                <dgm:layoutNode name="descendantArrow">
                  <dgm:choose name="Name26">
                    <dgm:if name="Name27" func="var" arg="dir" op="equ" val="norm">
                      <dgm:alg type="lin"/>
                    </dgm:if>
                    <dgm:else name="Name28">
                      <dgm:alg type="lin">
                        <dgm:param type="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for="ch" forName="childTextArrow" refType="w"/>
                    <dgm:constr type="h" for="ch" forName="childTextArrow" refType="h"/>
                  </dgm:constrLst>
                  <dgm:ruleLst/>
                  <dgm:forEach name="Name29" axis="ch" ptType="node">
                    <dgm:layoutNode name="childTextArrow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rect" r:blip="">
                        <dgm:adjLst/>
                      </dgm:shape>
                      <dgm:presOf axis="desOrSelf" ptType="node"/>
                      <dgm:constrLst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</dgm:forEach>
                </dgm:layoutNode>
              </dgm:if>
              <dgm:else name="Name30"/>
            </dgm:choose>
          </dgm:layoutNode>
        </dgm:else>
      </dgm:choose>
      <dgm:forEach name="Name31" axis="precedSib" ptType="sibTrans" st="-1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1387</Words>
  <Characters>7910</Characters>
  <Application>Microsoft Office Word</Application>
  <DocSecurity>0</DocSecurity>
  <Lines>65</Lines>
  <Paragraphs>18</Paragraphs>
  <ScaleCrop>false</ScaleCrop>
  <Company/>
  <LinksUpToDate>false</LinksUpToDate>
  <CharactersWithSpaces>9279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2026-08-19T11:28:00Z</dcterms:created>
  <dcterms:modified xsi:type="dcterms:W3CDTF">2026-08-19T11:29:00Z</dcterms:modified>
</cp:coreProperties>
</file>