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72E" w:rsidRPr="007C772E" w:rsidRDefault="003F4921" w:rsidP="007C772E">
      <w:pPr>
        <w:spacing w:line="360" w:lineRule="auto"/>
        <w:ind w:left="36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Т.В</w:t>
      </w:r>
      <w:r w:rsidR="007C772E" w:rsidRPr="007C772E">
        <w:rPr>
          <w:b/>
          <w:sz w:val="28"/>
          <w:szCs w:val="28"/>
        </w:rPr>
        <w:t xml:space="preserve">. </w:t>
      </w:r>
      <w:r>
        <w:rPr>
          <w:b/>
          <w:bCs/>
          <w:iCs/>
          <w:sz w:val="28"/>
          <w:szCs w:val="28"/>
        </w:rPr>
        <w:t>Матвеева</w:t>
      </w:r>
      <w:r w:rsidR="007C772E" w:rsidRPr="007C772E">
        <w:rPr>
          <w:b/>
          <w:bCs/>
          <w:iCs/>
          <w:sz w:val="28"/>
          <w:szCs w:val="28"/>
        </w:rPr>
        <w:t xml:space="preserve"> </w:t>
      </w:r>
    </w:p>
    <w:p w:rsidR="007C772E" w:rsidRPr="007C772E" w:rsidRDefault="003F4921" w:rsidP="007C772E">
      <w:pPr>
        <w:spacing w:line="360" w:lineRule="auto"/>
        <w:ind w:left="360"/>
        <w:jc w:val="right"/>
        <w:rPr>
          <w:iCs/>
          <w:sz w:val="28"/>
          <w:szCs w:val="28"/>
        </w:rPr>
      </w:pPr>
      <w:r>
        <w:rPr>
          <w:color w:val="000000"/>
          <w:sz w:val="28"/>
          <w:szCs w:val="28"/>
        </w:rPr>
        <w:t xml:space="preserve">канд. </w:t>
      </w:r>
      <w:r w:rsidR="00993ED5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ед</w:t>
      </w:r>
      <w:r w:rsidR="00993ED5">
        <w:rPr>
          <w:color w:val="000000"/>
          <w:sz w:val="28"/>
          <w:szCs w:val="28"/>
        </w:rPr>
        <w:t xml:space="preserve">агогических </w:t>
      </w:r>
      <w:r w:rsidR="007C772E" w:rsidRPr="007C772E">
        <w:rPr>
          <w:color w:val="000000"/>
          <w:sz w:val="28"/>
          <w:szCs w:val="28"/>
        </w:rPr>
        <w:t>наук</w:t>
      </w:r>
      <w:r>
        <w:rPr>
          <w:iCs/>
          <w:sz w:val="28"/>
          <w:szCs w:val="28"/>
        </w:rPr>
        <w:t>, заместитель директора по УВР</w:t>
      </w:r>
      <w:r w:rsidR="007C772E" w:rsidRPr="007C772E"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учитель математики</w:t>
      </w:r>
      <w:r w:rsidR="007C772E" w:rsidRPr="007C772E">
        <w:rPr>
          <w:iCs/>
          <w:sz w:val="28"/>
          <w:szCs w:val="28"/>
        </w:rPr>
        <w:t xml:space="preserve"> </w:t>
      </w:r>
    </w:p>
    <w:p w:rsidR="007C772E" w:rsidRPr="007C772E" w:rsidRDefault="003F4921" w:rsidP="007C772E">
      <w:pPr>
        <w:spacing w:line="360" w:lineRule="auto"/>
        <w:ind w:left="360"/>
        <w:jc w:val="right"/>
        <w:rPr>
          <w:sz w:val="28"/>
          <w:szCs w:val="28"/>
        </w:rPr>
      </w:pPr>
      <w:r>
        <w:rPr>
          <w:iCs/>
          <w:sz w:val="28"/>
          <w:szCs w:val="28"/>
        </w:rPr>
        <w:t>г. Урюпинск, Волгоградской области</w:t>
      </w:r>
      <w:r w:rsidR="007C772E" w:rsidRPr="007C772E">
        <w:rPr>
          <w:iCs/>
          <w:sz w:val="28"/>
          <w:szCs w:val="28"/>
        </w:rPr>
        <w:t>, РФ</w:t>
      </w:r>
    </w:p>
    <w:p w:rsidR="007C772E" w:rsidRPr="007C772E" w:rsidRDefault="007C772E" w:rsidP="007C772E">
      <w:pPr>
        <w:spacing w:line="360" w:lineRule="auto"/>
        <w:ind w:left="360"/>
        <w:jc w:val="right"/>
        <w:rPr>
          <w:iCs/>
          <w:sz w:val="28"/>
          <w:szCs w:val="28"/>
        </w:rPr>
      </w:pPr>
      <w:r w:rsidRPr="007C772E">
        <w:rPr>
          <w:iCs/>
          <w:sz w:val="28"/>
          <w:szCs w:val="28"/>
        </w:rPr>
        <w:t>Е-</w:t>
      </w:r>
      <w:r w:rsidRPr="007C772E">
        <w:rPr>
          <w:iCs/>
          <w:sz w:val="28"/>
          <w:szCs w:val="28"/>
          <w:lang w:val="en-US"/>
        </w:rPr>
        <w:t>mail</w:t>
      </w:r>
      <w:r w:rsidRPr="007C772E">
        <w:rPr>
          <w:iCs/>
          <w:sz w:val="28"/>
          <w:szCs w:val="28"/>
        </w:rPr>
        <w:t>:</w:t>
      </w:r>
      <w:r w:rsidRPr="007C772E">
        <w:rPr>
          <w:rStyle w:val="apple-converted-space"/>
          <w:iCs/>
          <w:sz w:val="28"/>
          <w:szCs w:val="28"/>
          <w:lang w:val="en-US"/>
        </w:rPr>
        <w:t> </w:t>
      </w:r>
      <w:hyperlink r:id="rId5" w:history="1">
        <w:r w:rsidR="003F4921" w:rsidRPr="00FF67F7">
          <w:rPr>
            <w:rStyle w:val="a3"/>
            <w:iCs/>
            <w:sz w:val="28"/>
            <w:szCs w:val="28"/>
            <w:lang w:val="en-US"/>
          </w:rPr>
          <w:t>matveeva</w:t>
        </w:r>
        <w:r w:rsidR="003F4921" w:rsidRPr="003F4921">
          <w:rPr>
            <w:rStyle w:val="a3"/>
            <w:iCs/>
            <w:sz w:val="28"/>
            <w:szCs w:val="28"/>
          </w:rPr>
          <w:t>_</w:t>
        </w:r>
        <w:r w:rsidR="003F4921" w:rsidRPr="00FF67F7">
          <w:rPr>
            <w:rStyle w:val="a3"/>
            <w:iCs/>
            <w:sz w:val="28"/>
            <w:szCs w:val="28"/>
            <w:lang w:val="en-US"/>
          </w:rPr>
          <w:t>mtv</w:t>
        </w:r>
        <w:r w:rsidR="003F4921" w:rsidRPr="00FF67F7">
          <w:rPr>
            <w:rStyle w:val="a3"/>
            <w:iCs/>
            <w:sz w:val="28"/>
            <w:szCs w:val="28"/>
          </w:rPr>
          <w:t>@</w:t>
        </w:r>
        <w:r w:rsidR="003F4921" w:rsidRPr="00FF67F7">
          <w:rPr>
            <w:rStyle w:val="a3"/>
            <w:iCs/>
            <w:sz w:val="28"/>
            <w:szCs w:val="28"/>
            <w:lang w:val="en-US"/>
          </w:rPr>
          <w:t>mail</w:t>
        </w:r>
        <w:r w:rsidR="003F4921" w:rsidRPr="00FF67F7">
          <w:rPr>
            <w:rStyle w:val="a3"/>
            <w:iCs/>
            <w:sz w:val="28"/>
            <w:szCs w:val="28"/>
          </w:rPr>
          <w:t>.</w:t>
        </w:r>
        <w:proofErr w:type="spellStart"/>
        <w:r w:rsidR="003F4921" w:rsidRPr="00FF67F7">
          <w:rPr>
            <w:rStyle w:val="a3"/>
            <w:iCs/>
            <w:sz w:val="28"/>
            <w:szCs w:val="28"/>
            <w:lang w:val="en-US"/>
          </w:rPr>
          <w:t>ru</w:t>
        </w:r>
        <w:proofErr w:type="spellEnd"/>
      </w:hyperlink>
    </w:p>
    <w:p w:rsidR="007C772E" w:rsidRPr="00E430B3" w:rsidRDefault="007C772E" w:rsidP="007C772E">
      <w:pPr>
        <w:spacing w:line="360" w:lineRule="auto"/>
        <w:ind w:left="360"/>
        <w:jc w:val="right"/>
        <w:rPr>
          <w:iCs/>
          <w:sz w:val="28"/>
          <w:szCs w:val="28"/>
          <w:lang w:eastAsia="en-US"/>
        </w:rPr>
      </w:pPr>
    </w:p>
    <w:p w:rsidR="00637A6E" w:rsidRDefault="00A16AA7" w:rsidP="00637A6E">
      <w:pPr>
        <w:jc w:val="center"/>
        <w:rPr>
          <w:b/>
          <w:sz w:val="28"/>
          <w:szCs w:val="28"/>
        </w:rPr>
      </w:pPr>
      <w:r w:rsidRPr="00A16A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ИСПОЛЬЗОВАНИЕ ДИДАКТИЧЕСКИХ ИГР ПРИ ОБУЧЕНИИ ШКОЛЬНИКОВ </w:t>
      </w:r>
      <w:r w:rsidR="00637A6E">
        <w:rPr>
          <w:b/>
          <w:sz w:val="28"/>
          <w:szCs w:val="28"/>
        </w:rPr>
        <w:t>НА УРОКАХ МАТЕМАТИКИ</w:t>
      </w:r>
    </w:p>
    <w:p w:rsidR="007C772E" w:rsidRPr="007C772E" w:rsidRDefault="007C772E" w:rsidP="007C772E">
      <w:pPr>
        <w:spacing w:line="360" w:lineRule="auto"/>
        <w:rPr>
          <w:b/>
          <w:sz w:val="28"/>
          <w:szCs w:val="28"/>
        </w:rPr>
      </w:pPr>
    </w:p>
    <w:p w:rsidR="00E430B3" w:rsidRPr="00F1246C" w:rsidRDefault="00E430B3" w:rsidP="00A16AA7">
      <w:pPr>
        <w:pStyle w:val="a5"/>
        <w:rPr>
          <w:spacing w:val="0"/>
        </w:rPr>
      </w:pPr>
      <w:r w:rsidRPr="00F1246C">
        <w:rPr>
          <w:spacing w:val="0"/>
        </w:rPr>
        <w:t>При обучении математике возможно использование дидактических игр, так как они дают во</w:t>
      </w:r>
      <w:r w:rsidR="001A18DB">
        <w:rPr>
          <w:spacing w:val="0"/>
        </w:rPr>
        <w:t>зможность приобретения школьниками</w:t>
      </w:r>
      <w:r w:rsidRPr="00F1246C">
        <w:rPr>
          <w:spacing w:val="0"/>
        </w:rPr>
        <w:t xml:space="preserve"> предметно-профессионального и социального опыта, принятия совместных и индивидуальных решений; формирования познавательной и выявление профессиональной мотивации; закрепления и применение знаний в нестандартной обстановке; формирования профессионально значимых умений и навыков; развития теоретического и практического мышления; выработки умений самостоятельного приобретения знаний </w:t>
      </w:r>
      <w:r>
        <w:rPr>
          <w:spacing w:val="0"/>
        </w:rPr>
        <w:t>и навыков добывания информации</w:t>
      </w:r>
    </w:p>
    <w:p w:rsidR="00E430B3" w:rsidRPr="00F1246C" w:rsidRDefault="00E430B3" w:rsidP="00E430B3">
      <w:pPr>
        <w:pStyle w:val="a5"/>
        <w:rPr>
          <w:spacing w:val="0"/>
        </w:rPr>
      </w:pPr>
      <w:r w:rsidRPr="00F1246C">
        <w:rPr>
          <w:spacing w:val="0"/>
        </w:rPr>
        <w:t>Заслуживает особого внимания технология деловой игры В.М. Симонова</w:t>
      </w:r>
      <w:r>
        <w:rPr>
          <w:spacing w:val="0"/>
        </w:rPr>
        <w:t xml:space="preserve"> </w:t>
      </w:r>
      <w:r w:rsidR="00A16AA7">
        <w:t>[2,3</w:t>
      </w:r>
      <w:r>
        <w:t>]</w:t>
      </w:r>
      <w:r w:rsidRPr="00F1246C">
        <w:rPr>
          <w:spacing w:val="0"/>
        </w:rPr>
        <w:t>,</w:t>
      </w:r>
      <w:r>
        <w:rPr>
          <w:spacing w:val="0"/>
        </w:rPr>
        <w:t xml:space="preserve"> рекомендуемая</w:t>
      </w:r>
      <w:r w:rsidRPr="00F1246C">
        <w:rPr>
          <w:spacing w:val="0"/>
        </w:rPr>
        <w:t xml:space="preserve"> при обучении математики. Дидактическая игра состоит из следующих этапов.</w:t>
      </w:r>
    </w:p>
    <w:p w:rsidR="00E430B3" w:rsidRPr="00F1246C" w:rsidRDefault="00E430B3" w:rsidP="00E430B3">
      <w:pPr>
        <w:pStyle w:val="a5"/>
        <w:ind w:firstLine="709"/>
        <w:rPr>
          <w:spacing w:val="0"/>
        </w:rPr>
      </w:pPr>
      <w:r w:rsidRPr="00F1246C">
        <w:rPr>
          <w:spacing w:val="0"/>
        </w:rPr>
        <w:t>1) Этап подготовки. Подготовка дидактической игры начинается с разработки сценария. В содержание сценария входят: учебная цель урока, описание изучаемой проблемы, обоснование поставленной задачи, план дидактической игры, общее описание процедуры игры, содержание игровой ситуации и характеристики действующих лиц.</w:t>
      </w:r>
    </w:p>
    <w:p w:rsidR="006F28BF" w:rsidRDefault="00E430B3" w:rsidP="00E430B3">
      <w:pPr>
        <w:pStyle w:val="a5"/>
        <w:ind w:firstLine="709"/>
        <w:rPr>
          <w:spacing w:val="0"/>
        </w:rPr>
      </w:pPr>
      <w:r w:rsidRPr="00F1246C">
        <w:rPr>
          <w:spacing w:val="0"/>
        </w:rPr>
        <w:t xml:space="preserve">2) Ввод в игру, ориентация участников и экспертов. Определяется режим работы, формируется главная цель урока, обосновывается постановка проблемы и выбора ситуации. Выдаются пакеты материалов, инструкций, правил, установок. Собирается дополнительная информация. </w:t>
      </w:r>
    </w:p>
    <w:p w:rsidR="00E430B3" w:rsidRPr="00F1246C" w:rsidRDefault="00E430B3" w:rsidP="00E430B3">
      <w:pPr>
        <w:pStyle w:val="a5"/>
        <w:ind w:firstLine="709"/>
        <w:rPr>
          <w:spacing w:val="0"/>
        </w:rPr>
      </w:pPr>
      <w:r w:rsidRPr="00F1246C">
        <w:rPr>
          <w:spacing w:val="0"/>
        </w:rPr>
        <w:lastRenderedPageBreak/>
        <w:t>3) Этап проведения игры. С момента начала игры никто не имеет права вмешиваться и изменять ее ход. Только ведущий может корректировать действия участников, если они уходят от главной цели игры. В зависимости от модификации дидактической игры могут быть введены различные типы ролевых позиций участников игры. Позиции, проявляющиеся по отношению к содержанию работы в группе: генератор идей, разработчик, имитатор, эрудит, диагност, аналитик. Организационные позиции: организатор, координатор, интегратор, контролер, манипулятор, тренер. Позиции, проявляющие по отношению к новизне: инициатор, осторожный критик, консерватор. На этапе проведения игры вначале происходит групповая работа над общим заданием (работа с источниками, тренинг, мозговой штурм и т.п.), а затем межгрупповая дискуссия (выступление групп с защитой своего проекта, работа экспертов, выбор общего решения проблемы).</w:t>
      </w:r>
    </w:p>
    <w:p w:rsidR="00E430B3" w:rsidRPr="00F1246C" w:rsidRDefault="00E430B3" w:rsidP="00E430B3">
      <w:pPr>
        <w:pStyle w:val="a5"/>
        <w:ind w:firstLine="709"/>
        <w:rPr>
          <w:spacing w:val="0"/>
        </w:rPr>
      </w:pPr>
      <w:r w:rsidRPr="00F1246C">
        <w:rPr>
          <w:spacing w:val="0"/>
        </w:rPr>
        <w:t>4) Этап анализа, обсуждения и оценки результатов игры.</w:t>
      </w:r>
    </w:p>
    <w:p w:rsidR="00E430B3" w:rsidRDefault="00E430B3" w:rsidP="00E430B3">
      <w:pPr>
        <w:pStyle w:val="a5"/>
        <w:rPr>
          <w:spacing w:val="0"/>
        </w:rPr>
      </w:pPr>
      <w:r>
        <w:rPr>
          <w:spacing w:val="0"/>
        </w:rPr>
        <w:t>В заключении</w:t>
      </w:r>
      <w:r w:rsidRPr="00F1246C">
        <w:rPr>
          <w:spacing w:val="0"/>
        </w:rPr>
        <w:t xml:space="preserve"> учитель констатирует достигнутые результаты, отмечает ошибки в предложенных решениях и действиях, формулируется окончательный итог урока. </w:t>
      </w:r>
    </w:p>
    <w:p w:rsidR="00E430B3" w:rsidRDefault="00E430B3" w:rsidP="00E430B3">
      <w:pPr>
        <w:pStyle w:val="a5"/>
        <w:rPr>
          <w:spacing w:val="0"/>
        </w:rPr>
      </w:pPr>
      <w:r>
        <w:rPr>
          <w:spacing w:val="0"/>
        </w:rPr>
        <w:t>В процессе игры</w:t>
      </w:r>
      <w:r w:rsidR="004B1ACA">
        <w:rPr>
          <w:spacing w:val="0"/>
        </w:rPr>
        <w:t xml:space="preserve"> на уроках математики у школьников</w:t>
      </w:r>
      <w:r>
        <w:rPr>
          <w:spacing w:val="0"/>
        </w:rPr>
        <w:t xml:space="preserve"> вырабатывается привычка сосредотачиваться, мыслить самостоятельно, развивать внимание, стремление к знаниям. Даже самые пассивные из учеников включаются в игру с огромным желанием, прилагая усилия, чтобы не подвести товарищей по игре. Включение в урок дидактических игр и игровых моментов делает процесс обучения познавательным и интересным, создает у учеников рабочее настроение, превращает процесс преодоления трудностей в успешное усвоение материала.</w:t>
      </w:r>
    </w:p>
    <w:p w:rsidR="001015C5" w:rsidRDefault="00D94808" w:rsidP="00EA144A">
      <w:pPr>
        <w:pStyle w:val="a5"/>
        <w:rPr>
          <w:spacing w:val="0"/>
        </w:rPr>
      </w:pPr>
      <w:r>
        <w:rPr>
          <w:spacing w:val="0"/>
        </w:rPr>
        <w:t>Мы согласны с мнением</w:t>
      </w:r>
      <w:r w:rsidR="00E430B3">
        <w:rPr>
          <w:spacing w:val="0"/>
        </w:rPr>
        <w:t xml:space="preserve"> Н.В. Барышниковой</w:t>
      </w:r>
      <w:r w:rsidR="00E430B3">
        <w:t xml:space="preserve"> [1]</w:t>
      </w:r>
      <w:r w:rsidR="00E430B3">
        <w:rPr>
          <w:spacing w:val="0"/>
        </w:rPr>
        <w:t xml:space="preserve">, </w:t>
      </w:r>
      <w:r>
        <w:rPr>
          <w:spacing w:val="0"/>
        </w:rPr>
        <w:t xml:space="preserve">в том, что </w:t>
      </w:r>
      <w:r w:rsidR="00E430B3">
        <w:rPr>
          <w:spacing w:val="0"/>
        </w:rPr>
        <w:t xml:space="preserve">в тесной связи с другими видами учебной работы, дидактические игры на уроках математики являются видом преобразующей творческой деятельности учащихся и учителя, при которой учителю необходимо учитывать: место дидактических игр и игровых ситуаций в системе других видов деятельности на уроке; </w:t>
      </w:r>
      <w:r w:rsidR="00E430B3">
        <w:rPr>
          <w:spacing w:val="0"/>
        </w:rPr>
        <w:lastRenderedPageBreak/>
        <w:t>целесообразность использования их на разных этапах урока; разработку новых методик проведения дидактических игр с учетом цели урока и уровня подготовленности учащихся; требования к содержанию игровой деятельности в свете идей развивающего обучения; разнообразие игр; применение воспитательных игр. Важным является целесообразность использования дидактических игр на различных этапах урока: при усвоении новых знаний возможности дидактических игр значительно уступают традиционным формам обучения. Игровые формы целесообразно использовать при проверке результатов обучен</w:t>
      </w:r>
      <w:r w:rsidR="001015C5">
        <w:rPr>
          <w:spacing w:val="0"/>
        </w:rPr>
        <w:t>ия, отработке навыков и умений.</w:t>
      </w:r>
    </w:p>
    <w:p w:rsidR="001015C5" w:rsidRDefault="00E430B3" w:rsidP="00EA144A">
      <w:pPr>
        <w:pStyle w:val="a5"/>
        <w:rPr>
          <w:spacing w:val="0"/>
        </w:rPr>
      </w:pPr>
      <w:r>
        <w:rPr>
          <w:spacing w:val="0"/>
        </w:rPr>
        <w:t xml:space="preserve">Определение места дидактической игре в структуре урока и сочетание ее элементов и учения зависят от правильного понимания учителем функции дидактических игр и их классификации. Все коллективные игры на уроке математики следует разделять по дидактическим задачам урока (обучающие, контролирующие, обобщающие игры). </w:t>
      </w:r>
    </w:p>
    <w:p w:rsidR="007C772E" w:rsidRPr="00EA144A" w:rsidRDefault="00E430B3" w:rsidP="00EA144A">
      <w:pPr>
        <w:pStyle w:val="a5"/>
        <w:rPr>
          <w:spacing w:val="0"/>
        </w:rPr>
      </w:pPr>
      <w:r>
        <w:rPr>
          <w:spacing w:val="0"/>
        </w:rPr>
        <w:t>Дидактические игры при их систематическом применении на уроке математики должны стать эффективным средством активизац</w:t>
      </w:r>
      <w:r w:rsidR="004B1ACA">
        <w:rPr>
          <w:spacing w:val="0"/>
        </w:rPr>
        <w:t>ии учебной деятельности школьников</w:t>
      </w:r>
      <w:r w:rsidR="00D64A9F">
        <w:rPr>
          <w:spacing w:val="0"/>
        </w:rPr>
        <w:t>:</w:t>
      </w:r>
      <w:r>
        <w:rPr>
          <w:spacing w:val="0"/>
        </w:rPr>
        <w:t xml:space="preserve"> создав</w:t>
      </w:r>
      <w:r w:rsidR="004B1ACA">
        <w:rPr>
          <w:spacing w:val="0"/>
        </w:rPr>
        <w:t>ать ситуации успеха</w:t>
      </w:r>
      <w:r>
        <w:rPr>
          <w:spacing w:val="0"/>
        </w:rPr>
        <w:t xml:space="preserve">, актуализировать их внимание на оценке своих возможностей и способностей, создавать условия для творческой деятельности. </w:t>
      </w:r>
    </w:p>
    <w:p w:rsidR="007C772E" w:rsidRPr="007C772E" w:rsidRDefault="001015C5" w:rsidP="007C772E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</w:t>
      </w:r>
      <w:r w:rsidR="007C772E" w:rsidRPr="007C772E">
        <w:rPr>
          <w:b/>
          <w:sz w:val="28"/>
          <w:szCs w:val="28"/>
        </w:rPr>
        <w:t>:</w:t>
      </w:r>
    </w:p>
    <w:p w:rsidR="007C772E" w:rsidRDefault="00EA144A" w:rsidP="007C772E">
      <w:pPr>
        <w:numPr>
          <w:ilvl w:val="0"/>
          <w:numId w:val="1"/>
        </w:numPr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Барышникова Н.В. Математика 5-11 классы: игровые технологии на уроках. – Волгоград: Учитель, 2007. – 154</w:t>
      </w:r>
      <w:r w:rsidRPr="00F804B1">
        <w:rPr>
          <w:sz w:val="28"/>
          <w:szCs w:val="28"/>
        </w:rPr>
        <w:t xml:space="preserve"> с.</w:t>
      </w:r>
    </w:p>
    <w:p w:rsidR="00EA144A" w:rsidRDefault="00EA144A" w:rsidP="007C772E">
      <w:pPr>
        <w:numPr>
          <w:ilvl w:val="0"/>
          <w:numId w:val="1"/>
        </w:numPr>
        <w:spacing w:line="360" w:lineRule="auto"/>
        <w:ind w:left="567" w:hanging="567"/>
        <w:jc w:val="both"/>
        <w:rPr>
          <w:sz w:val="28"/>
          <w:szCs w:val="28"/>
        </w:rPr>
      </w:pPr>
      <w:r w:rsidRPr="00F804B1">
        <w:rPr>
          <w:sz w:val="28"/>
          <w:szCs w:val="28"/>
        </w:rPr>
        <w:t xml:space="preserve">Симонов В.М. Дидактические основы естественнонаучного образования: гуманитарная парадигма. Волгоград, 2000. </w:t>
      </w:r>
      <w:r>
        <w:rPr>
          <w:sz w:val="28"/>
          <w:szCs w:val="28"/>
        </w:rPr>
        <w:t>– 205</w:t>
      </w:r>
      <w:r w:rsidRPr="00F804B1">
        <w:rPr>
          <w:sz w:val="28"/>
          <w:szCs w:val="28"/>
        </w:rPr>
        <w:t xml:space="preserve"> с.</w:t>
      </w:r>
    </w:p>
    <w:p w:rsidR="007C772E" w:rsidRPr="00EA144A" w:rsidRDefault="00EA144A" w:rsidP="00EA144A">
      <w:pPr>
        <w:numPr>
          <w:ilvl w:val="0"/>
          <w:numId w:val="1"/>
        </w:numPr>
        <w:spacing w:line="360" w:lineRule="auto"/>
        <w:ind w:left="567" w:hanging="567"/>
        <w:jc w:val="both"/>
        <w:rPr>
          <w:sz w:val="28"/>
          <w:szCs w:val="28"/>
        </w:rPr>
      </w:pPr>
      <w:r w:rsidRPr="00F804B1">
        <w:rPr>
          <w:sz w:val="28"/>
          <w:szCs w:val="28"/>
        </w:rPr>
        <w:t xml:space="preserve">Симонов В.М. Калейдоскоп учебно-деловых игр в старших классах на уроках математики, физики, информатики, химии, биологии, географии, экономики. Волгоград, 2005. </w:t>
      </w:r>
      <w:r>
        <w:rPr>
          <w:sz w:val="28"/>
          <w:szCs w:val="28"/>
        </w:rPr>
        <w:t>– 183</w:t>
      </w:r>
      <w:r w:rsidRPr="00F804B1">
        <w:rPr>
          <w:sz w:val="28"/>
          <w:szCs w:val="28"/>
        </w:rPr>
        <w:t xml:space="preserve"> с.</w:t>
      </w:r>
    </w:p>
    <w:p w:rsidR="00DA3972" w:rsidRPr="007C772E" w:rsidRDefault="00DA3972" w:rsidP="007C772E">
      <w:pPr>
        <w:spacing w:line="360" w:lineRule="auto"/>
        <w:jc w:val="right"/>
        <w:rPr>
          <w:sz w:val="28"/>
          <w:szCs w:val="28"/>
        </w:rPr>
      </w:pPr>
    </w:p>
    <w:sectPr w:rsidR="00DA3972" w:rsidRPr="007C772E" w:rsidSect="007C772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EC7"/>
    <w:rsid w:val="001015C5"/>
    <w:rsid w:val="001A18DB"/>
    <w:rsid w:val="003F4921"/>
    <w:rsid w:val="004B1ACA"/>
    <w:rsid w:val="00622196"/>
    <w:rsid w:val="00637A6E"/>
    <w:rsid w:val="006F28BF"/>
    <w:rsid w:val="007C772E"/>
    <w:rsid w:val="00973EC7"/>
    <w:rsid w:val="00993ED5"/>
    <w:rsid w:val="00A16AA7"/>
    <w:rsid w:val="00A5433B"/>
    <w:rsid w:val="00D64A9F"/>
    <w:rsid w:val="00D94808"/>
    <w:rsid w:val="00DA3972"/>
    <w:rsid w:val="00E430B3"/>
    <w:rsid w:val="00E90595"/>
    <w:rsid w:val="00EA144A"/>
    <w:rsid w:val="00F878A5"/>
    <w:rsid w:val="00FE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F67C3"/>
  <w15:chartTrackingRefBased/>
  <w15:docId w15:val="{41B246DB-EDBF-4895-BE9E-58346C8D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7C77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C77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7C772E"/>
  </w:style>
  <w:style w:type="paragraph" w:styleId="2">
    <w:name w:val="Body Text Indent 2"/>
    <w:basedOn w:val="a"/>
    <w:link w:val="20"/>
    <w:unhideWhenUsed/>
    <w:rsid w:val="00E430B3"/>
    <w:pPr>
      <w:overflowPunct w:val="0"/>
      <w:autoSpaceDE w:val="0"/>
      <w:autoSpaceDN w:val="0"/>
      <w:adjustRightInd w:val="0"/>
      <w:spacing w:after="120" w:line="480" w:lineRule="auto"/>
      <w:ind w:left="283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E430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Обычный.Расчет"/>
    <w:rsid w:val="00E430B3"/>
    <w:pPr>
      <w:autoSpaceDE w:val="0"/>
      <w:autoSpaceDN w:val="0"/>
      <w:spacing w:after="0" w:line="360" w:lineRule="auto"/>
      <w:ind w:firstLine="425"/>
      <w:jc w:val="both"/>
    </w:pPr>
    <w:rPr>
      <w:rFonts w:ascii="Times New Roman" w:eastAsia="Times New Roman" w:hAnsi="Times New Roman" w:cs="Times New Roman"/>
      <w:spacing w:val="2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6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tveeva_mt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2017-03-24T11:54:00Z</dcterms:created>
  <dcterms:modified xsi:type="dcterms:W3CDTF">2017-03-31T16:20:00Z</dcterms:modified>
</cp:coreProperties>
</file>