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p w14:paraId="0000000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СОВРЕМЕННЫЕ ИГРОВЫХ ТЕХНОЛОГИЙ В РАЗВИТИИ КООРДИНАЦИИ У ДЕТЕЙ СТАРШЕГО </w:t>
      </w:r>
    </w:p>
    <w:p w14:paraId="0000000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ВОЗРАСТА </w:t>
      </w:r>
    </w:p>
    <w:p w14:paraId="0000000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Times New Roman" w:cs="Times New Roman" w:hAnsi="Times New Roman"/>
          <w:bCs/>
          <w:i/>
          <w:sz w:val="28"/>
          <w:szCs w:val="28"/>
        </w:rPr>
      </w:pPr>
      <w:r>
        <w:rPr>
          <w:rFonts w:ascii="Times New Roman" w:cs="Times New Roman" w:hAnsi="Times New Roman"/>
          <w:bCs/>
          <w:i/>
          <w:sz w:val="28"/>
          <w:szCs w:val="28"/>
        </w:rPr>
        <w:t xml:space="preserve">Аннотация: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в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статье рассматривается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комплекс педагогических условий, необходимых для эффективного формирования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координационных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способностей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детей дошкольного возраста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, основываясь на анал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изе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современных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подходов и диагностике текущего уровня развития координации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.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</w:t>
      </w:r>
    </w:p>
    <w:p w14:paraId="0000000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  <w:r>
        <w:rPr>
          <w:rFonts w:ascii="Times New Roman" w:cs="Times New Roman" w:hAnsi="Times New Roman"/>
          <w:i/>
          <w:color w:val="000000"/>
          <w:sz w:val="28"/>
          <w:szCs w:val="28"/>
        </w:rPr>
        <w:t>Ключевые слова: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координационные способности, дети дошкольного возраста, физическое воспитание, развивающая среда, игровые технологии, "Волшебный ящик"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>.</w:t>
      </w:r>
    </w:p>
    <w:p w14:paraId="0000000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Times New Roman" w:cs="Times New Roman" w:hAnsi="Times New Roman"/>
          <w:i/>
          <w:color w:val="000000"/>
          <w:sz w:val="28"/>
          <w:szCs w:val="28"/>
        </w:rPr>
      </w:pPr>
    </w:p>
    <w:p w14:paraId="0000000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Педагогические условия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-  </w:t>
      </w:r>
      <w:r>
        <w:rPr>
          <w:rFonts w:ascii="Times New Roman" w:cs="Times New Roman" w:hAnsi="Times New Roman"/>
          <w:color w:val="000000"/>
          <w:sz w:val="28"/>
          <w:szCs w:val="28"/>
        </w:rPr>
        <w:t>это один из компонентов педагогической системы, отражающий совокупность возможностей образовательной и материально - пространственной среды, воздействующих на личностный и процессуальный аспекты данной системы и обеспечивающих ее эффективное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функционирование и развитие</w:t>
      </w:r>
      <w:r>
        <w:rPr>
          <w:rFonts w:ascii="Times New Roman" w:cs="Times New Roman" w:hAnsi="Times New Roman"/>
          <w:color w:val="000000"/>
          <w:sz w:val="28"/>
          <w:szCs w:val="28"/>
        </w:rPr>
        <w:t>.</w:t>
      </w:r>
    </w:p>
    <w:p w14:paraId="0000000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Мы выделили ряд педагогических условий: </w:t>
      </w:r>
    </w:p>
    <w:p w14:paraId="00000008">
      <w:pPr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24" w:firstLine="68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Знание педагогом особенностей развития координации у детей дошкольного возраста;</w:t>
      </w:r>
    </w:p>
    <w:p w14:paraId="00000009">
      <w:pPr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24" w:firstLine="68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Уметь создавать РППС;</w:t>
      </w:r>
    </w:p>
    <w:p w14:paraId="0000000A">
      <w:pPr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24" w:firstLine="685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Работа с родителями.</w:t>
      </w:r>
    </w:p>
    <w:p w14:paraId="0000000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Практика воспитания физического воспитания и спорта располагает основным арсеналом средств для воспитания на координационные способности.</w:t>
      </w:r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Основным средством для воспитания координационных способностей являются физические упражнения повышенной координационной сложности и содержащие элементы новизны. Сложность физических упражнений можно увеличивать за счет изменения пространственных, временных и динамических параметров. А также за счет внешних условий, изменяя порядок расположения средств, их вес, высоту; изменяя площадь опор или увеличивать ее подвижность в упражнениях на равновесие и так далее; комбинируя двигательные навыки; сочетая ходьбу с прыжками, бег и ловлю предметов; выполняя упражнения по сиг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налу или в ограниченное время. </w:t>
      </w:r>
    </w:p>
    <w:p w14:paraId="0000000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Специальные упражнения для совершенствования координационных движений разрабатываются с учетом специфики избранного вида спорта, профессии.</w:t>
      </w:r>
      <w:r>
        <w:rPr>
          <w:rFonts w:ascii="Times New Roman" w:cs="Times New Roman" w:hAnsi="Times New Roman"/>
          <w:color w:val="000000"/>
          <w:sz w:val="28"/>
          <w:szCs w:val="28"/>
        </w:rPr>
        <w:tab/>
        <w:t xml:space="preserve">Это координационно – сходные упражнения с </w:t>
      </w:r>
      <w:r>
        <w:rPr>
          <w:rFonts w:ascii="Times New Roman" w:cs="Times New Roman" w:hAnsi="Times New Roman"/>
          <w:color w:val="000000"/>
          <w:sz w:val="28"/>
          <w:szCs w:val="28"/>
        </w:rPr>
        <w:t>технико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– тактическими действиям</w:t>
      </w:r>
      <w:r>
        <w:rPr>
          <w:rFonts w:ascii="Times New Roman" w:cs="Times New Roman" w:hAnsi="Times New Roman"/>
          <w:color w:val="000000"/>
          <w:sz w:val="28"/>
          <w:szCs w:val="28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. 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На стартовом обучении применяют две группы таких средств:</w:t>
      </w:r>
    </w:p>
    <w:p w14:paraId="0000000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1. Подводящие, способствующие освоению новых форм движений того или иного вида спорта.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2. Развивающие, направленные на непосредственно воспитание координационных способностей.</w:t>
      </w:r>
    </w:p>
    <w:p w14:paraId="0000001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Упражнения, направленные на развитие координационных способностей, эффективны до тех пор, пока они не будут выполняться автоматически. Зятем, они теряют свою ценность, так как любое, основанное до навыка и выполняемое в одних и тех же постоянных условиях двигательного действия, но стимулирует дальнейшее развитие координационных способностей.</w:t>
      </w:r>
    </w:p>
    <w:p w14:paraId="0000001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  <w:highlight w:val="white"/>
        </w:rPr>
        <w:t>Развивающая предметно-пространственная среда (РППС) — это часть образовательной среды, представленная специально организованным пространством, материалами, оборудованием и инвентарём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РППС способно оказать разностороннее влияние на развитие координации. В нее входит традиционное оборудование, картотеки, методические пособия. В дошкольном образовании воспитатели сталкиваются с проблемой потери интереса со стороны детей, именно поэтому необходима постоянная сменяемость наполняемости РППС. </w:t>
      </w:r>
    </w:p>
    <w:p w14:paraId="0000001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Игровые технологии – способ обучения с элементами игры, способствующий самореализации и раскрытию творческого потенциала воспитанников. Это метод обучения и воспитания, который полностью соотносится с возможностями дошкольного возраста.</w:t>
      </w:r>
    </w:p>
    <w:p w14:paraId="0000001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Цель игровых технологий состоит в том, чтобы создать условия, при которых ребенок успешно постигает новые знания, формирует навыки, осваивает общественные функции, характерные социуму, и соответствующие нормы поведения.</w:t>
      </w:r>
    </w:p>
    <w:p w14:paraId="0000001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Современная действительность диктует новые формы игровых технологий. Они должны соответствовать новым веяниям общественного развития и должны быть интересны детям. Педагогу необходимо найти баланс между желанием ребенка и пользой для его развития. Поэтому в детском саду используют инновационные игровые приемы с использованием ИКТ.</w:t>
      </w:r>
    </w:p>
    <w:p w14:paraId="0000001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Современные технологии открывают новые горизонты для игровой деятельности детей старшего дошкольного возраста. Они позволяют сделать обучение более интересным, разнообразным и эффективным. Однако важно помнить о необходимости баланса между использованием технологий и классическими методами воспитания, а также обеспечить безопасность и контроль доступа к информации.</w:t>
      </w:r>
    </w:p>
    <w:p w14:paraId="0000001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Внесение в РППС современной технологии - игровая интерактивная модель «Волшебный ящик» повысит интерес у детей, а также привлечет внимание их родителей. </w:t>
      </w:r>
    </w:p>
    <w:p w14:paraId="00000019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drawing xmlns:mc="http://schemas.openxmlformats.org/markup-compatibility/2006">
          <wp:anchor allowOverlap="1" behindDoc="1" distT="0" distB="0" distL="114300" distR="114300" layoutInCell="1" locked="0" relativeHeight="251656192" simplePos="0">
            <wp:simplePos x="0" y="0"/>
            <wp:positionH relativeFrom="column">
              <wp:posOffset>22860</wp:posOffset>
            </wp:positionH>
            <wp:positionV relativeFrom="paragraph">
              <wp:posOffset>128905</wp:posOffset>
            </wp:positionV>
            <wp:extent cx="2549525" cy="2558415"/>
            <wp:effectExtent l="0" t="4445" r="8890" b="0"/>
            <wp:wrapSquare wrapText="bothSides"/>
            <wp:docPr id="94" name="Изображение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Изображение 92"/>
                    <pic:cNvPicPr>
                      <a:picLocks noChangeAspect="1"/>
                    </pic:cNvPicPr>
                  </pic:nvPicPr>
                  <pic:blipFill>
                    <a:blip r:embed="rId8"/>
                    <a:srcRect l="1605" t="20410" r="14178" b="16268"/>
                    <a:stretch/>
                  </pic:blipFill>
                  <pic:spPr>
                    <a:xfrm rot="16200000">
                      <a:off x="0" y="0"/>
                      <a:ext cx="2549525" cy="255841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Цель данного оборудования - развитие координационных способностей посредством специальных упражнений.  Яркая, красочная коробка, напоминающая игрушечный домик или волшебный сундучок привлекает внимание детей. Коробка раскладывается, словно книга с таинственным и увлекающем приключением.  Каждый разворот оформлен в тематике упражнения, также в углу размещен кьюаркод, перейдя по которому можно получить подробную видео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инструкцию по его выполнению. </w:t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28"/>
          <w:szCs w:val="28"/>
        </w:rPr>
        <w:t>Д</w:t>
      </w:r>
      <w:r>
        <w:rPr>
          <w:rFonts w:ascii="Times New Roman" w:cs="Times New Roman" w:hAnsi="Times New Roman"/>
          <w:color w:val="000000"/>
          <w:sz w:val="28"/>
          <w:szCs w:val="28"/>
        </w:rPr>
        <w:t>анный ящик разработан по принципу: “От простого - к сложному”, что позволяет эффективнее достигнуть цель. После того, как дети пройдут все этапы, на финише их будет ждать награда.</w:t>
      </w:r>
    </w:p>
    <w:p w14:paraId="0000001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Преимущества </w:t>
      </w:r>
      <w:r>
        <w:rPr>
          <w:rFonts w:ascii="Times New Roman" w:cs="Times New Roman" w:hAnsi="Times New Roman"/>
          <w:color w:val="000000"/>
          <w:sz w:val="28"/>
          <w:szCs w:val="28"/>
        </w:rPr>
        <w:t>игровой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интерактивной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модели </w:t>
      </w:r>
      <w:r>
        <w:rPr>
          <w:rFonts w:ascii="Times New Roman" w:cs="Times New Roman" w:hAnsi="Times New Roman"/>
          <w:color w:val="000000"/>
          <w:sz w:val="28"/>
          <w:szCs w:val="28"/>
        </w:rPr>
        <w:t>«</w:t>
      </w:r>
      <w:r>
        <w:rPr>
          <w:rFonts w:ascii="Times New Roman" w:cs="Times New Roman" w:hAnsi="Times New Roman"/>
          <w:color w:val="000000"/>
          <w:sz w:val="28"/>
          <w:szCs w:val="28"/>
        </w:rPr>
        <w:t>Волшебный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ящик</w:t>
      </w:r>
      <w:r>
        <w:rPr>
          <w:rFonts w:ascii="Times New Roman" w:cs="Times New Roman" w:hAnsi="Times New Roman"/>
          <w:color w:val="000000"/>
          <w:sz w:val="28"/>
          <w:szCs w:val="28"/>
        </w:rPr>
        <w:t>»</w:t>
      </w:r>
      <w:r>
        <w:rPr>
          <w:rFonts w:ascii="Times New Roman" w:cs="Times New Roman" w:hAnsi="Times New Roman"/>
          <w:color w:val="000000"/>
          <w:sz w:val="28"/>
          <w:szCs w:val="28"/>
        </w:rPr>
        <w:t>:</w:t>
      </w:r>
    </w:p>
    <w:p w14:paraId="0000001B">
      <w:pPr>
        <w:numPr>
          <w:ilvl w:val="0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24" w:firstLine="348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Повышение интереса и вовлеченности детей благодаря интерактивности и игровому подходу.</w:t>
      </w:r>
    </w:p>
    <w:p w14:paraId="0000001C">
      <w:pPr>
        <w:numPr>
          <w:ilvl w:val="0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0" w:firstLine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Возможность самостоятельного выполнения заданий, что способствует развитию самостоятельности и уверенности.</w:t>
      </w:r>
    </w:p>
    <w:p w14:paraId="0000001D">
      <w:pPr>
        <w:numPr>
          <w:ilvl w:val="0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0" w:firstLine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Участие родителей через доступ к видео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инструкциям и возможность совместной работы над заданиями.</w:t>
      </w:r>
    </w:p>
    <w:p w14:paraId="0000001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Segoe UI"/>
          <w:color w:val="000000"/>
          <w:sz w:val="24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Работа с родителями играет ключевую роль в обучении, развитии и воспитании детей. Успех воспитанников напрямую зависит от грамотного и слаженного взаимодействия воспитателя и родителей. </w:t>
      </w:r>
    </w:p>
    <w:p w14:paraId="0000001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Segoe UI"/>
          <w:color w:val="000000"/>
          <w:sz w:val="18"/>
        </w:rPr>
      </w:pPr>
      <w:r>
        <w:rPr>
          <w:rFonts w:ascii="Times New Roman" w:cs="Times New Roman" w:hAnsi="Times New Roman"/>
          <w:color w:val="000000"/>
          <w:sz w:val="28"/>
          <w:szCs w:val="26"/>
        </w:rPr>
        <w:t>Сочетание</w:t>
      </w:r>
      <w:r>
        <w:rPr>
          <w:rFonts w:ascii="Times New Roman" w:cs="Times New Roman" w:hAnsi="Times New Roman"/>
          <w:color w:val="000000"/>
          <w:sz w:val="28"/>
          <w:szCs w:val="26"/>
        </w:rPr>
        <w:tab/>
        <w:t>грамотно</w:t>
      </w:r>
      <w:r>
        <w:rPr>
          <w:rFonts w:ascii="Times New Roman" w:cs="Times New Roman" w:hAnsi="Times New Roman"/>
          <w:color w:val="000000"/>
          <w:sz w:val="28"/>
          <w:szCs w:val="26"/>
        </w:rPr>
        <w:tab/>
        <w:t>организованной</w:t>
      </w:r>
      <w:r>
        <w:rPr>
          <w:rFonts w:ascii="Times New Roman" w:cs="Times New Roman" w:hAnsi="Times New Roman"/>
          <w:color w:val="000000"/>
          <w:sz w:val="28"/>
          <w:szCs w:val="26"/>
        </w:rPr>
        <w:tab/>
        <w:t>развивающей</w:t>
      </w:r>
      <w:r>
        <w:rPr>
          <w:rFonts w:ascii="Times New Roman" w:cs="Times New Roman" w:hAnsi="Times New Roman"/>
          <w:color w:val="000000"/>
          <w:sz w:val="28"/>
          <w:szCs w:val="26"/>
        </w:rPr>
        <w:tab/>
        <w:t>предметно - пространственной среды и активного участия родителей создает оптимальные условия для всестороннего развития детей, включая улучшение их координационных способностей. "Волшебный ящик" служит ярким примером инновационного подхода, способствующего увлечению детей и повышению их интереса к физическим упражнениям.</w:t>
      </w:r>
    </w:p>
    <w:p w14:paraId="0000002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b/>
          <w:bCs/>
          <w:color w:val="000000"/>
          <w:sz w:val="28"/>
          <w:szCs w:val="26"/>
        </w:rPr>
      </w:pPr>
    </w:p>
    <w:p w14:paraId="00000021">
      <w:pPr>
        <w:spacing w:line="240" w:lineRule="auto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Библиографический список</w:t>
      </w:r>
    </w:p>
    <w:p w14:paraId="00000022">
      <w:pPr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tabs>
          <w:tab w:val="left" w:pos="0"/>
        </w:tabs>
        <w:spacing w:after="0" w:line="240" w:lineRule="auto"/>
        <w:ind w:hanging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Курамшин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Ю.Ф., Махотин А.А., Бернштейн Н.А., Донской Д.Д., Ляха В.И. — труды по физическому воспитанию и спортивной педагогике.</w:t>
      </w:r>
    </w:p>
    <w:p w14:paraId="00000023">
      <w:pPr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tabs>
          <w:tab w:val="left" w:pos="0"/>
        </w:tabs>
        <w:spacing w:after="0" w:line="240" w:lineRule="auto"/>
        <w:ind w:hanging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Толковый словарь русского языка / Под ред. Т.Ф. </w:t>
      </w:r>
      <w:r>
        <w:rPr>
          <w:rFonts w:ascii="Times New Roman" w:cs="Times New Roman" w:hAnsi="Times New Roman"/>
          <w:color w:val="000000"/>
          <w:sz w:val="28"/>
          <w:szCs w:val="28"/>
        </w:rPr>
        <w:t>Ефремовой. М.: Русские словари, 2000.</w:t>
      </w:r>
    </w:p>
    <w:p w14:paraId="00000024">
      <w:pPr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tabs>
          <w:tab w:val="left" w:pos="0"/>
        </w:tabs>
        <w:spacing w:after="0" w:line="240" w:lineRule="auto"/>
        <w:ind w:hanging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Материалы диагностического исследования и беседы с воспитателями ДОУ.</w:t>
      </w:r>
    </w:p>
    <w:p w14:paraId="00000025">
      <w:pPr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tabs>
          <w:tab w:val="left" w:pos="0"/>
        </w:tabs>
        <w:spacing w:after="0" w:line="240" w:lineRule="auto"/>
        <w:ind w:hanging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Лях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В.И. Координационные способности и их значение в жизни человека // Вестник науки и образования. </w:t>
      </w:r>
      <w:r>
        <w:rPr>
          <w:rFonts w:ascii="Times New Roman" w:cs="Times New Roman" w:hAnsi="Times New Roman"/>
          <w:color w:val="000000"/>
          <w:sz w:val="28"/>
          <w:szCs w:val="28"/>
        </w:rPr>
        <w:t>2018. №12(54).</w:t>
      </w:r>
    </w:p>
    <w:p w14:paraId="00000026">
      <w:pPr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tabs>
          <w:tab w:val="left" w:pos="0"/>
        </w:tabs>
        <w:spacing w:after="0" w:line="240" w:lineRule="auto"/>
        <w:ind w:hanging="36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Методические рекомендации по </w:t>
      </w:r>
      <w:r>
        <w:rPr>
          <w:rFonts w:ascii="Times New Roman" w:cs="Times New Roman" w:hAnsi="Times New Roman"/>
          <w:color w:val="000000"/>
          <w:sz w:val="28"/>
          <w:szCs w:val="28"/>
        </w:rPr>
        <w:t>применению игровой модели "Волшебный ящик" в ДОУ.</w:t>
      </w:r>
    </w:p>
    <w:p w14:paraId="00000027">
      <w:pPr>
        <w:spacing w:line="240" w:lineRule="auto"/>
        <w:rPr>
          <w:rFonts w:ascii="Times New Roman" w:cs="Times New Roman" w:hAnsi="Times New Roman"/>
          <w:b/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DengXian">
    <w:altName w:val="SimSun"/>
    <w:panose1 w:val="00000000000000000000"/>
    <w:charset w:val="86"/>
    <w:family w:val="roman"/>
    <w:notTrueType w:val="on"/>
    <w:pitch w:val="default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2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6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lvl w:ilvl="0" w:tentative="0">
        <w:numFmt w:val="bullet"/>
        <w:lvlText w:val="1."/>
        <w:lvlJc w:val="left"/>
      </w:lvl>
    </w:lvlOverride>
  </w:num>
  <w:num w:numId="2">
    <w:abstractNumId w:val="6"/>
    <w:lvlOverride w:ilvl="0">
      <w:lvl w:ilvl="0" w:tentative="0">
        <w:numFmt w:val="bullet"/>
        <w:lvlText w:val="2."/>
        <w:lvlJc w:val="left"/>
      </w:lvl>
    </w:lvlOverride>
  </w:num>
  <w:num w:numId="3">
    <w:abstractNumId w:val="5"/>
    <w:lvlOverride w:ilvl="0">
      <w:lvl w:ilvl="0" w:tentative="0">
        <w:numFmt w:val="bullet"/>
        <w:lvlText w:val="3."/>
        <w:lvlJc w:val="left"/>
      </w:lvl>
    </w:lvlOverride>
  </w:num>
  <w:num w:numId="4">
    <w:abstractNumId w:val="2"/>
    <w:lvlOverride w:ilvl="0">
      <w:lvl w:ilvl="0" w:tentative="0">
        <w:numFmt w:val="bullet"/>
        <w:lvlText w:val="4."/>
        <w:lvlJc w:val="left"/>
      </w:lvl>
    </w:lvlOverride>
  </w:num>
  <w:num w:numId="5">
    <w:abstractNumId w:val="1"/>
    <w:lvlOverride w:ilvl="0">
      <w:lvl w:ilvl="0" w:tentative="0">
        <w:numFmt w:val="bullet"/>
        <w:lvlText w:val="5."/>
        <w:lvlJc w:val="left"/>
      </w:lvl>
    </w:lvlOverride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507CE"/>
    <w:rsid w:val="000507CE"/>
    <w:rsid w:val="009514BC"/>
    <w:rsid w:val="00E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7586B-ABA3-4BFE-82BF-2C64BDC5AC04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</cp:coreProperties>
</file>