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0CA3" w:rsidRDefault="00200CA3">
      <w:bookmarkStart w:id="0" w:name="_GoBack"/>
      <w:bookmarkEnd w:id="0"/>
    </w:p>
    <w:p w:rsidR="00F84758" w:rsidRPr="00F84758" w:rsidRDefault="00F84758" w:rsidP="00F84758">
      <w:pPr>
        <w:spacing w:after="0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F84758">
        <w:rPr>
          <w:rFonts w:ascii="Times New Roman" w:hAnsi="Times New Roman" w:cs="Times New Roman"/>
          <w:b/>
          <w:sz w:val="24"/>
          <w:szCs w:val="24"/>
        </w:rPr>
        <w:t>Развитие  учебно-познавательной способности обучающихся  средствами дифференцированной самостоятельной работы на уроках русского языка</w:t>
      </w:r>
      <w:proofErr w:type="gramEnd"/>
    </w:p>
    <w:p w:rsidR="000B23E3" w:rsidRDefault="000B23E3" w:rsidP="00993D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Самостоятельная работа обучающихся – это одно из условий успешного овладения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метапредметными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результатами в свете федеральных образоват</w:t>
      </w:r>
      <w:r w:rsidR="00993DA3">
        <w:rPr>
          <w:rFonts w:ascii="Times New Roman" w:eastAsia="Times New Roman" w:hAnsi="Times New Roman" w:cs="Times New Roman"/>
          <w:sz w:val="24"/>
          <w:szCs w:val="24"/>
          <w:lang w:eastAsia="ru-RU"/>
        </w:rPr>
        <w:t>ел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ьных стандартов.</w:t>
      </w:r>
      <w:r w:rsidR="00993DA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Именно дифференцированный подход к процессу обучения помогает организовать самостоятельную работу</w:t>
      </w:r>
    </w:p>
    <w:p w:rsidR="00A84289" w:rsidRPr="00A84289" w:rsidRDefault="00A84289" w:rsidP="00993D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Дифференциацию и индивидуализацию предполагаю начать на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внутрипредметном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уровне (на уроках русского языка).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Необходима диагностика по разным направлениям изучения личности школьника: медицинской, психической, уровня образованности и т.д. Пока нет точных диагностик, тестов, которые бы исчерпывающе  представили показатели, по которым учащегося можно причислить к той или иной группе.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Исходя из этого выделяются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следующие критерии дифференциации: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1. Проверка уровня образованности учащихся. Основные цели педагогического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контроля за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степенью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учащихся: обобщение и закрепление ранее сформулированных знаний, умений и навыков; оценка эффективности и результативности учебно-познавательной и самообразовательной деятельности каждого учащегося, персонально; самоконтроль и самоанализ учителя; проверка результативности своей деятельности.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Цель реализуется в следующих видах проверки: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проверка степени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начале года (входной тест, результаты которого выносятся в таблицу сводную, показывающую уровень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определенным орфограммам,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пунктограммам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 над которыми предстоит работать в течение учебного года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(Приложение 1);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- итоговая проверка степени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учащихся по данному предмету (зачет, экзамен, итоговый тест).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Сводная таблица итогового теста сопоставляются с входным тестом, делается вывод о достижениях школьника в течение учебного года, добавляются вновь изученные орфограммы, внимание на которые будет удел</w:t>
      </w:r>
      <w:r w:rsidR="00EC1271">
        <w:rPr>
          <w:rFonts w:ascii="Times New Roman" w:eastAsia="Times New Roman" w:hAnsi="Times New Roman" w:cs="Times New Roman"/>
          <w:sz w:val="24"/>
          <w:szCs w:val="24"/>
          <w:lang w:eastAsia="ru-RU"/>
        </w:rPr>
        <w:t>яться в следующем учебном году).</w:t>
      </w:r>
      <w:proofErr w:type="gramEnd"/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2. Диагностика уровня развития личностных характеристик учащихся в процессе обучения («Адаптированный модифицированный вариант детского личностного вопросника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Р.Кеттела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»). Предлагаемый модифицированный вариант вопросника включает в себя 12 факторов, отражающих характеристики некоторых качеств личности (например,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волевых качеств, интеллектуальных функций, развитость эмоциональных чувств и т.д.). Он предназначен для детей 8-12 лет, поэтому его необходимо применить в 5</w:t>
      </w:r>
      <w:r w:rsidRPr="00A84289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х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-6</w:t>
      </w:r>
      <w:r w:rsidRPr="00A84289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х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классах.  Все необходимое для исследования описывается в Приложении 2.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3. Диагностика психологических особенностей учащихся (вопросник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Кеттела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плюс помощь школьного психолога); на основе заключения о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психических свойств учащихся можно также строить деление на группы школьников или даже индивидуальные занятия.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Например, принадлежность ученика к определенному типу нервной системы влияет на успеваемость школьника.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ab/>
        <w:t xml:space="preserve">Существует большой разброс в уровне усвоений знаний у учащихся одного и того же класса (это подтверждают исследования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З.И.Калмыковой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Калмыкова З.И. Продуктивное мышление как основа обучаемости.-М.,Педагогика.1981-с.163).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Индивидуальные различия учащихся проявляются в уровне работоспособности. По этому признаку школьников можно разделить на 3 группы: первая характеризуется высокой работоспособностью (36%), вторая – средней (50-55%), третья – низкой (17%). Это средние показатели по классам. Учащиеся с низкой работоспособностью чаще других попадают в разряд неуспевающих, хотя в большинстве своем не страдают умственной недостаточностью или отсутствием интереса к обучению. Нет, им просто нужен другой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темп работы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. Именно работоспособность как низкая, так и высокая является показателем принадлежности ученика к определенному типу нервной системы. Учащиеся со слабой нервной системой выполняют работу медленно, но очень обстоятельно. Им, естественно, требуется для этого гораздо больше времени. Они педантичны, очень чувствительны и ранимы. Поэтому их учебные неудачи следует оценивать очень осторожно, избегая резких выражений, оскорбительных упреков. Полной  противоположностью являются учащиеся с сильной нервной системой, именно на них главным образом рассчитано традиционное обучение.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Индивидуальное различие проявляются и в типах мышления: у одних детей преобладает практически действенное мышление, у вторых – наглядно-образное, у третьих – словесно-логическое. В реальной жизни все три вида мышления взаимосвязаны, и процесс обучения должен быть направлен на формирование  каждого из нас.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Отсюда следует вывод о необходимости использования в обучении, особенно при подаче нового материала, широкого арсенала средств наглядности – схем, чертежей, картин, фрагментов из фильмов, листков с опорными сигналами. Наличие учащихся с различными типами мышления предъявляет особые требования к изложению учебного материала, оно должно быть не только информативным, доступным, но и эмоциональным, ярким, вызывающим у детей определенные представления, ассоциации, зрительные образы.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Модели описания способов применения правила в виде схем, таблиц, различных моделей алгоритмов, образцы рассуждения эффективны для учеников с логическим типом мышления. Для детей с наглядно-образным восприятием мира эти модели сложны или совсем неприемлемы.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Рисунки, используемые в практике обучения, обычно иллюстрируют сложные для понимания понятия: обобщающее слово, главное и зависимое солнце и т.п.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На этапе обучения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правилосообразным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действием необходимо использовать иллюстрацию как альтернативу алгоритму и схеме. Это позволит включить в активную учебную деятельность детей с наглядно-образным типом мышления (например: человек, вручающий эстафетную палочку морфемам кое-, -то,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-л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ибо, -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нибудь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наглядно демонстрирует основное правило написания неопределенных местоимений и наречий).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Созданию системы иллюстраций, адекватно дублирующих порядок применения правила, препятствует сложность, многоступенчатость и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многовариантность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большинства алгоритмических предписаний.</w:t>
      </w:r>
    </w:p>
    <w:p w:rsidR="00A84289" w:rsidRDefault="00A8428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C6CA9" w:rsidRDefault="004C6CA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C6CA9" w:rsidRDefault="004C6CA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C6CA9" w:rsidRPr="00A84289" w:rsidRDefault="004C6CA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5481CB" wp14:editId="55043099">
                <wp:simplePos x="0" y="0"/>
                <wp:positionH relativeFrom="column">
                  <wp:posOffset>609600</wp:posOffset>
                </wp:positionH>
                <wp:positionV relativeFrom="paragraph">
                  <wp:posOffset>144780</wp:posOffset>
                </wp:positionV>
                <wp:extent cx="0" cy="914400"/>
                <wp:effectExtent l="9525" t="11430" r="9525" b="7620"/>
                <wp:wrapNone/>
                <wp:docPr id="10" name="Прямая соединительная 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0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pt,11.4pt" to="48pt,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"/>
            </w:pict>
          </mc:Fallback>
        </mc:AlternateContent>
      </w: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C92DFC" wp14:editId="6CF5CC33">
                <wp:simplePos x="0" y="0"/>
                <wp:positionH relativeFrom="column">
                  <wp:posOffset>1066800</wp:posOffset>
                </wp:positionH>
                <wp:positionV relativeFrom="paragraph">
                  <wp:posOffset>144780</wp:posOffset>
                </wp:positionV>
                <wp:extent cx="0" cy="914400"/>
                <wp:effectExtent l="9525" t="11430" r="9525" b="7620"/>
                <wp:wrapNone/>
                <wp:docPr id="9" name="Прямая соединительная линия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9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pt,11.4pt" to="84pt,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"/>
            </w:pict>
          </mc:Fallback>
        </mc:AlternateContent>
      </w: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A7AE73" wp14:editId="37DC373D">
                <wp:simplePos x="0" y="0"/>
                <wp:positionH relativeFrom="column">
                  <wp:posOffset>-76200</wp:posOffset>
                </wp:positionH>
                <wp:positionV relativeFrom="paragraph">
                  <wp:posOffset>30480</wp:posOffset>
                </wp:positionV>
                <wp:extent cx="1828165" cy="1191260"/>
                <wp:effectExtent l="9525" t="11430" r="9525" b="7620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165" cy="1191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84289" w:rsidRDefault="00A84289" w:rsidP="00A84289">
                            <w:pPr>
                              <w:jc w:val="both"/>
                            </w:pPr>
                            <w:r>
                              <w:rPr>
                                <w:noProof/>
                                <w:sz w:val="28"/>
                                <w:szCs w:val="28"/>
                                <w:lang w:eastAsia="ru-RU"/>
                              </w:rPr>
                              <w:drawing>
                                <wp:inline distT="0" distB="0" distL="0" distR="0" wp14:anchorId="2E5992EC" wp14:editId="3D664518">
                                  <wp:extent cx="1638300" cy="1085850"/>
                                  <wp:effectExtent l="0" t="0" r="0" b="0"/>
                                  <wp:docPr id="7" name="Рисунок 7" descr="Рисунок - обезьян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Рисунок - обезьяна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lum bright="6000" contrast="36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38300" cy="1085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left:0;text-align:left;margin-left:-6pt;margin-top:2.4pt;width:143.95pt;height:93.8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" strokecolor="white">
                <v:textbox style="mso-fit-shape-to-text:t">
                  <w:txbxContent>
                    <w:p w:rsidR="00A84289" w:rsidRDefault="00A84289" w:rsidP="00A84289">
                      <w:pPr>
                        <w:jc w:val="both"/>
                      </w:pPr>
                      <w:r>
                        <w:rPr>
                          <w:noProof/>
                          <w:sz w:val="28"/>
                          <w:szCs w:val="28"/>
                          <w:lang w:eastAsia="ru-RU"/>
                        </w:rPr>
                        <w:drawing>
                          <wp:inline distT="0" distB="0" distL="0" distR="0" wp14:anchorId="2E5992EC" wp14:editId="3D664518">
                            <wp:extent cx="1638300" cy="1085850"/>
                            <wp:effectExtent l="0" t="0" r="0" b="0"/>
                            <wp:docPr id="7" name="Рисунок 7" descr="Рисунок - обезьян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Рисунок - обезьяна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lum bright="6000" contrast="36000"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38300" cy="1085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(Проблема в корне не зевай – ё на е скорей меняй!)</w:t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3FE140" wp14:editId="2BB10FAB">
                <wp:simplePos x="0" y="0"/>
                <wp:positionH relativeFrom="column">
                  <wp:posOffset>228600</wp:posOffset>
                </wp:positionH>
                <wp:positionV relativeFrom="paragraph">
                  <wp:posOffset>66675</wp:posOffset>
                </wp:positionV>
                <wp:extent cx="1295400" cy="0"/>
                <wp:effectExtent l="9525" t="9525" r="9525" b="9525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pt,5.25pt" to="120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"/>
            </w:pict>
          </mc:Fallback>
        </mc:AlternateContent>
      </w:r>
    </w:p>
    <w:p w:rsidR="00A84289" w:rsidRPr="00A84289" w:rsidRDefault="00A84289" w:rsidP="00A84289">
      <w:pPr>
        <w:spacing w:after="0"/>
        <w:ind w:left="283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B2EE89" wp14:editId="6575C852">
                <wp:simplePos x="0" y="0"/>
                <wp:positionH relativeFrom="column">
                  <wp:posOffset>228600</wp:posOffset>
                </wp:positionH>
                <wp:positionV relativeFrom="paragraph">
                  <wp:posOffset>102870</wp:posOffset>
                </wp:positionV>
                <wp:extent cx="1295400" cy="0"/>
                <wp:effectExtent l="9525" t="7620" r="9525" b="11430"/>
                <wp:wrapNone/>
                <wp:docPr id="5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5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pt,8.1pt" to="120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"/>
            </w:pict>
          </mc:Fallback>
        </mc:AlternateConten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(в клетке – корне меняет ё на е, за пределы клетки корня она подает глаголу и причастию ё, существительному и прилагательному о).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Рис. 1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Описание учеником внутреннего образа, иллюстрирующего порядок применения правила, становится еще одним средством, активизирующим усвоение материала.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Например, обобщенный блок «Написание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не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некоторыми частями речи» (общие положения: без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не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слово не употребляется, есть противопоставление – рассматривались отдельно) ученик представил в виде цветка с лепестками «существительное», «прилагательное», «наречие на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–о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-е»: плотно держится лепесток (образовалось новое слово) – надо писать слитно; лепестки «глагол», «деепричастие» уносит ветром – надо писать раздельно; а лепесток «причастие» отрывает гусеница – зависимое слово, потому что только при наличии зависимого слова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не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причастиями пишется раздельно.</w:t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292E7B9" wp14:editId="08D0A0AB">
            <wp:extent cx="3867150" cy="2590800"/>
            <wp:effectExtent l="0" t="0" r="0" b="0"/>
            <wp:docPr id="4" name="Рисунок 4" descr="цвет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цветок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12000" contras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2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Часто техника рисунка, иллюстрирующего порядок применения правила, умышленно упрощена, так как это делает рисунок доступным для срисовывания, копирования.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Например, иллюстрация способа проверки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пунктограммы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«Конструкции с союзом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выполнена в технике схематического рисунка. На первом рисунке изображен хозяин, который держит на поводке двух одинаковых собачек. Рисунок позволяет усвоить очень важный признак однородности: однородные члены предложения относятся к одному и тому же слову. Он помогает усвоить и основной прием самоконтроля: надо проверить, есть ли общее слово («общий хозяин»), которое можно перенести к каждому слову или смысловому блоку, соединенному союзом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«Петя немножко осмотрелся и увидел грустную девочку. – (Петя) осмотрелся. (Петя) увидел. Кроме того, рисунок позволяет включить в процесс запоминания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мнемотехнику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которая предотвращает смешивание при выборе результата рассуждения: у одного хозяина собачки живут дружно и не поссорятся из-за косточки – не будем разделять их запятой: (Рис.4)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6B0685C" wp14:editId="78A059A6">
            <wp:extent cx="3657600" cy="2438400"/>
            <wp:effectExtent l="0" t="0" r="0" b="0"/>
            <wp:docPr id="3" name="Рисунок 3" descr="Мальчик и соба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Мальчик и собачки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8000" contrast="5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Рис.3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На рисунке собачки разных пород (части сложносочиненного предложения различны по смыслу) рычат друг на друга, ссорятся из-за косточки, чтобы ссора не произошла, разделим их запятой.</w:t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9C3967" wp14:editId="16530740">
            <wp:extent cx="3981450" cy="2647950"/>
            <wp:effectExtent l="0" t="0" r="0" b="0"/>
            <wp:docPr id="2" name="Рисунок 2" descr="Соба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обачки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18000" contrast="5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4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Шутливые ассоциативные </w:t>
      </w:r>
      <w:r w:rsidRPr="00A8428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мнемотехнические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фразы типа: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Есть общий хозяин – не поссорятся... (не надо разделять запятой),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Две разные собаки делят кость (надо разделить запятой)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Есть зависимое слово, отрывает причастие от частицы «не»... (рисунок 2)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помогают запоминанию, так как соответствуют образному восприятию школьников.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Раскрашивание рисунка – ещё один прием, активизирующий работу над структурой правила. Выбор цвета, с помощью которого указываются главный ориентир, дополнительные признаки и вывод, позволяет осознать структуру правила, в образах и цвете зафиксировать в памяти  порядок его применения.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4. Дифференцированное обучение на основе гендерного подхода.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Современное образование предлагает бесполый подход к обучению. Вместе с тем, обучаясь по одной и той же школьной методике, мальчики и девочки приходят к одним и 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тем же знаниями  и умениям разными путями, используя разные стратегии мышления, что связано с гендерными различиями в организации мозга. Требования школьного образования существенно опережают темпы развития головного мозга учащихся. Особенно это относится к мальчикам, у которых темпы созревания высших психических функций медленнее, чем у девочек. Наиболее успешными в современной  традиционной системе обучения являются левополушарные девочки, наиболее неуспешными – правополушарные мальчики. Объяснительно – иллюстративный и репродуктивный методы традиционного обучения; академическая подготовка к уроку; задания, ориентированные на механическое запоминание, вербальные способности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исполнительскую деятельность, прилежание, сотрудничество и т.д., наиболее приемлемы для девочек, особенно левополушарных. Обучая мальчиков, особенно правополушарных, необходимо использовать </w:t>
      </w:r>
      <w:r w:rsidRPr="00A8428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проблемный, эвристический и исследовательский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методы;  творческую деятельность; «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переоткрытие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открытий», решение пространственных задач, ориентацию на практическую информацию и т.д. А эти формы и методы обучения в нашей школе применяются недостаточно.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силу нейропсихологических особенностей восприятие девочек более детализировано, отсюда и склонность к внешней упорядоченности, а конкретное и прагматичное мышление ориентирует их не столько на выявление закономерностей, сколько на получение необходимого результата.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Мальчики больше склонны к поисковой деятельности. Они выдвигают новые идеи и лучше решают задачи, в которых главное поиск и пробы. Однако качество исполнения у них невелико. Поэтому ученик может найти нестандартное решение сложной математической задачи, но сделать ошибку в вычислениях и получить двойку.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Девочки же легко справляются с задачами уже известными, типовыми,  проявляя при этом тщательность и аккуратность. Именно такой подход соответствует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требованиям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школы. Минимальные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новаторству,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максимальное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 тщательности исполнения.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Мозг мальчиков более прогрессивная, дифференцированная, избирательная,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экономичная функциональная система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У них особенно активен передний мозг, его лобные ассоциативные структуры. Именно эти отделы мозга отвечают за процессы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смыслообразования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. Это делает мышление мальчиков творческим, объясняет их высокую поисковую активность,  способствует более активной самореализации.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У девочек совершенно иная организация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межцентральных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взаимодействий в коре больших полушарий – повышение уровня функциональной активности не  передних, а задних отделов коры, а также слуховых отделов левого полушария, играющих важную роль в понимании значения слов.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По результатам исследования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Н.Ленсделла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отделы мозга, отвечающие за вербальные и пространственные способности у мальчиков, располагаются в противоположных полушариях, а у девочек приблизительно в обоих полушариях.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Передние и задние отделы коры правого и левого полушарий играют различную роль в когнитивных функциях мальчиков и девочек. Так, при осмыслении слов мальчики пользуются преимущественно левым полушарием, девочки – обоими. Гендерные различия обусловливают различные типы мышления, восприятия и т.д., что необходимо учитывать в процессе обучения. 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Психолого-педагогические ошибки в обучении приводят  к возникновению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дидактогении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которая может перерасти в школьный невроз, в 90% случаев возникающей 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 мальчиков.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связи с этим уроки для мальчиков необходимо сделать короче, грамотно чередовать физическую и познавательную деятельность.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Таким образом, можно сделать вывод, что нужны задания с разным уровнем творчества, продуктивности, развития логического мышления и т.д. для девочек  и мальчиков отдельно. Хотя в современных условиях урока это сделать очень трудно, так как нужно развивать склонность и к поисковой деятельности, и к  творческой деятельности, и к аккуратности, и к тщательности выполнения деятельности в  разумных пропорциях у обоих полов учащихся.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5. Медицинские показания.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Актуальность дифференциации обучения и воспитания обусловлена тенденцией ухудшения состояния здоровья подрастающего поколения в современных условиях (14% практически здоровы, замедлились темпы их роста и развития, ухудшился уровень жизни).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Дети, поступающие в школу, в 30-35% случаев имеют хроническую патологию, которая в дальнейшем усиливается. В средних классах у подростков возникает функциональные отклонения. За период обучения в школе в 5 раз возрастает частота нарушений зрения и осанки, в 4 раза – психоневрологических отклонений функционального характера, в 3 раза – заболеваний органов пищеварения (по данным медицинского обследования в школе № 5).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Сопоставительный анализ изменений функциональных показателей свидетельствует о том, что высокое  качество усвоения знаний в условиях индивидуального и дифференцированного обучения сочетается с меньшими издержками в состоянии здоровья подростков.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По медицинским показаниям также составляется сводная таблица в начале и в конце года.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Исходя из вышесказанного, можно сказать, что немаловажную роль в психическом состоянии ребенка играет, и атмосфера урока. Я убеждена, что доверие, спокойствие (а отсюда – возрастает желание получать знания на уроке, а не просто провести 40 минут бесполезно) учащихся на уроке возможно только тогда, когда параллельно идет воспитание, опираясь на нравственные, этические законы жизни.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Духовно-нравственная природа урока – это вера учителя и учеников друг в друга. Учитель верит в возможности и лучшие намерения ученика, ученик – в любовь к нему учителя, в его уверенность в нем и его силах.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душе ребенка всегда должна быть надежда на любовь, понимание и помощь учителя, иначе он гибнет. Мы знаем, как некоторые дети даже не пытаются писать сочинения, например. Каждый учитель знает, что его кажущаяся лень – это отсутствие не просто веры в себя, а именно надежды хоть на какой-то успех, признания и поддержку. И на уроке такой ребенок одинок.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Изменение методического ракурса урока, а именно к таким относится его духовно-нравственная  природа, смягчает характер отношений в школе, характеры учителей и учеников, их настроений.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Знания начинают расти и «работать» на человека лишь тогда, когда он овладевает положительной духовностью, а значит духовностью нравственной.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Итак, атмосфера урока помогает также для успешной дифференциации и индивидуализации на уроке. Изучение психологической структуры урока методом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цветописи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определяющим эмоциональное состояние учащихся на разных этапах.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ab/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Например, красный цвет – возбуждение, повышенная активность, синий цвет – безразличное отношение к предмету, заданию, апатичность; зеленый цвет -  уравновешенное состояние; черный – агрессия, причину которой учителю необходимо выяснить.</w:t>
      </w:r>
      <w:proofErr w:type="gramEnd"/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Данный эксперимент был проведен в 7 «а» классе в начале </w:t>
      </w:r>
      <w:r w:rsid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201</w:t>
      </w:r>
      <w:r w:rsidR="00EC1271"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  <w:r w:rsid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учебного года, когда велись уроки фронтальным способом обучения. Получились следующие результаты: из 24 человек в конце урока нарисовали зеленый цвет – 6 человек (25%), красный цвет – 2 (8%); синий цвет – 13 человек (54%); черный – 2 (8%);  один человек отказался представить свое настроение в цвете.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конце четверти, когда на каждом уроке начала применять дифференцированные задания, картина несколько изменилась: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- зеленый цвет – 9 (38% - против 25%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начальных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- красный цвет – 3 (13% – против 8%);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- синий цвет – 11 (46% - против 54%);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- черный цвет – 1 (4% - против 8%).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Мы видим возрастающую тенденцию изменения благоприятного настроения благодаря изменению метода проведения урока (зеленый, красный цвет). Процент учащихся с безразличным отношением к предмету, агрессией сталь меньше (синий, черный цвет).</w:t>
      </w:r>
    </w:p>
    <w:p w:rsidR="00A84289" w:rsidRPr="00A84289" w:rsidRDefault="00A84289" w:rsidP="00A8428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Диаграмма 1</w:t>
      </w:r>
    </w:p>
    <w:p w:rsidR="00A84289" w:rsidRDefault="00A84289" w:rsidP="00A84289">
      <w:pPr>
        <w:rPr>
          <w:sz w:val="24"/>
          <w:szCs w:val="24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A49EC22" wp14:editId="50F48B93">
            <wp:extent cx="3514725" cy="1876425"/>
            <wp:effectExtent l="0" t="0" r="0" b="0"/>
            <wp:docPr id="1" name="Диаграмм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136305" w:rsidRPr="00136305" w:rsidRDefault="00136305" w:rsidP="0013630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36305">
        <w:rPr>
          <w:rFonts w:ascii="Times New Roman" w:hAnsi="Times New Roman" w:cs="Times New Roman"/>
          <w:sz w:val="24"/>
          <w:szCs w:val="24"/>
        </w:rPr>
        <w:t xml:space="preserve">Итак, </w:t>
      </w:r>
      <w:r w:rsidR="00EC1271"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юбая организован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ная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учителем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самостоятельная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 школь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ника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должна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отвечать следующи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м дидактическим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требованиям: иметь целенаправленный характер; быть действительно самостоятельной работой и по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буждать ученика при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ее выполнении работать напряженно; при этом на первых порах </w:t>
      </w:r>
      <w:r w:rsidRPr="00136305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у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учащихся нужно сформировать простейшие навыки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самостоятельной работы; </w:t>
      </w:r>
      <w:proofErr w:type="gramStart"/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для самостоятельной работы в большинстве случаев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нужно предлагать такие задания,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выполнение которых не допускает действия по готовым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рецептам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 шаблону; задания должны вызывать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интерес у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учащихся; самостоятельную работу необходимо планомерно и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систематически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включать в учебный процесс; при организации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самостоятельной работы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необходимо осуществлять разумное сочетание изложения материала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учителем с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самостоятельной работой учащихся по приобретению знаний, умений. </w:t>
      </w:r>
      <w:proofErr w:type="gramEnd"/>
    </w:p>
    <w:p w:rsidR="00136305" w:rsidRDefault="00136305" w:rsidP="00A84289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136305" w:rsidRPr="00136305" w:rsidRDefault="00136305" w:rsidP="00136305">
      <w:pPr>
        <w:rPr>
          <w:rFonts w:ascii="Times New Roman" w:hAnsi="Times New Roman" w:cs="Times New Roman"/>
          <w:sz w:val="24"/>
          <w:szCs w:val="24"/>
        </w:rPr>
      </w:pPr>
      <w:r w:rsidRPr="00136305">
        <w:rPr>
          <w:rFonts w:ascii="Times New Roman" w:hAnsi="Times New Roman" w:cs="Times New Roman"/>
          <w:sz w:val="24"/>
          <w:szCs w:val="24"/>
        </w:rPr>
        <w:lastRenderedPageBreak/>
        <w:t>Список литературы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Абасов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З. Дифференциация Обучения: сущность и формы//Директор школы -1999 - № 8. 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Антропова, М.В., Манке Г.Г. Дифференцированное обучение: педагогическая и физиолого-гигиеническая оценка//Педагогика - 1992 -№ 9-10.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Антропова, М.В., Манке Г.Г., Кузнецова Л.М., Бородина Г.В. Индивидуально-дифференцированное обучение в гимназии//Педагогика -1996 - № 5.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Безрукова, В.С. Все о современном уроке в школе: проблемы решения 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-М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.: «Сентябрь», 2004.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Блинков, А.Д., Лови О.В.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Стратовая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дифференциация обучения // Завуч -1998 - № 4.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Максимов,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В.Г.Педагогическая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диагностика в школе: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.п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особие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студентов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высш.пед.учеб.заведений.-М.:Издательский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центр «Академия», 2002.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Мишина, А.П. Диагностика результатов обучения русскому языку в начальной школе / /Пед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.д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иагностика-2004-№ 3.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Парфенова,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Е.Л.Дифференцированное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обучение как средство воспитания интереса к урокам русского языка//Русский язык в школе.-2005-№3.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Попков,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В.А.Дифференцированное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обучение и формирование профессиональной элиты//Педагогика-1998-№ 1.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Селевко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Г.К. Современные образовательные технологии: Учебное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пособие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.-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М.:Народное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образование, 1998.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Сиротюк, А. Дифференциация обучения на основе гендерного подхода // 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Народное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образование-2003-№ 8.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Фролова, Т.Я. Организация дифференцированного подхода при обучении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правилосообразным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действия // Русский язык в школе-2003-№ 5.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Худякова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spellStart"/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Л.А.Уроки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русского языка в форме лабораторной работы // Русский язык в школе-2005-№ 1.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Шупило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К.,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Глинкин</w:t>
      </w:r>
      <w:proofErr w:type="spellEnd"/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Е. Школа дифференцированного обучения // Народное образование-1993-№ 9-10.</w:t>
      </w:r>
    </w:p>
    <w:p w:rsidR="00136305" w:rsidRPr="00136305" w:rsidRDefault="00136305" w:rsidP="0013630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6305" w:rsidRPr="00136305" w:rsidRDefault="00136305" w:rsidP="0013630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6305" w:rsidRPr="00136305" w:rsidRDefault="00136305" w:rsidP="00A84289">
      <w:pPr>
        <w:rPr>
          <w:rFonts w:ascii="Times New Roman" w:hAnsi="Times New Roman" w:cs="Times New Roman"/>
          <w:sz w:val="24"/>
          <w:szCs w:val="24"/>
        </w:rPr>
      </w:pPr>
    </w:p>
    <w:p w:rsidR="00136305" w:rsidRDefault="00136305" w:rsidP="00A84289">
      <w:pPr>
        <w:rPr>
          <w:sz w:val="24"/>
          <w:szCs w:val="24"/>
        </w:rPr>
      </w:pPr>
    </w:p>
    <w:p w:rsidR="00136305" w:rsidRDefault="00136305" w:rsidP="00A84289">
      <w:pPr>
        <w:rPr>
          <w:sz w:val="24"/>
          <w:szCs w:val="24"/>
        </w:rPr>
      </w:pPr>
    </w:p>
    <w:p w:rsidR="00136305" w:rsidRPr="00A84289" w:rsidRDefault="00136305" w:rsidP="00A84289">
      <w:pPr>
        <w:rPr>
          <w:sz w:val="24"/>
          <w:szCs w:val="24"/>
        </w:rPr>
      </w:pPr>
    </w:p>
    <w:sectPr w:rsidR="00136305" w:rsidRPr="00A842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8F0A40"/>
    <w:multiLevelType w:val="hybridMultilevel"/>
    <w:tmpl w:val="98240B32"/>
    <w:lvl w:ilvl="0" w:tplc="43603C4C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0CA3"/>
    <w:rsid w:val="000A2148"/>
    <w:rsid w:val="000B23E3"/>
    <w:rsid w:val="00136305"/>
    <w:rsid w:val="00200CA3"/>
    <w:rsid w:val="002C19D9"/>
    <w:rsid w:val="004A3132"/>
    <w:rsid w:val="004C6CA9"/>
    <w:rsid w:val="005A03EC"/>
    <w:rsid w:val="00614370"/>
    <w:rsid w:val="00993DA3"/>
    <w:rsid w:val="00A84289"/>
    <w:rsid w:val="00EC1271"/>
    <w:rsid w:val="00F84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42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428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42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428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10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chart" Target="charts/chart1.xml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60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7.7994428969359333E-2"/>
          <c:y val="8.0213903743315509E-2"/>
          <c:w val="0.72423398328690802"/>
          <c:h val="0.7379679144385026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начало 1 четверти</c:v>
                </c:pt>
              </c:strCache>
            </c:strRef>
          </c:tx>
          <c:spPr>
            <a:pattFill prst="pct90">
              <a:fgClr>
                <a:srgbClr xmlns:mc="http://schemas.openxmlformats.org/markup-compatibility/2006" xmlns:a14="http://schemas.microsoft.com/office/drawing/2010/main" val="000000" mc:Ignorable="a14" a14:legacySpreadsheetColorIndex="8"/>
              </a:fgClr>
              <a:bgClr>
                <a:srgbClr xmlns:mc="http://schemas.openxmlformats.org/markup-compatibility/2006" xmlns:a14="http://schemas.microsoft.com/office/drawing/2010/main" val="9999FF" mc:Ignorable="a14" a14:legacySpreadsheetColorIndex="24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9.7576849930468557E-3"/>
                  <c:y val="-3.644383209936920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8509590302842691E-2"/>
                  <c:y val="-2.18876790893822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4348538741238105E-2"/>
                  <c:y val="-8.384552517270478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2.1958667286977682E-2"/>
                  <c:y val="-2.18876790893822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1">
                <a:noFill/>
              </a:ln>
            </c:spPr>
            <c:txPr>
              <a:bodyPr/>
              <a:lstStyle/>
              <a:p>
                <a:pPr>
                  <a:defRPr sz="82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Sheet1!$B$1:$E$1</c:f>
              <c:strCache>
                <c:ptCount val="4"/>
                <c:pt idx="0">
                  <c:v>зеленый</c:v>
                </c:pt>
                <c:pt idx="1">
                  <c:v>красный</c:v>
                </c:pt>
                <c:pt idx="2">
                  <c:v>синий</c:v>
                </c:pt>
                <c:pt idx="3">
                  <c:v>черный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25</c:v>
                </c:pt>
                <c:pt idx="1">
                  <c:v>8</c:v>
                </c:pt>
                <c:pt idx="2">
                  <c:v>54</c:v>
                </c:pt>
                <c:pt idx="3">
                  <c:v>8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конец 1 чевтерти </c:v>
                </c:pt>
              </c:strCache>
            </c:strRef>
          </c:tx>
          <c:spPr>
            <a:pattFill prst="wdUpDiag">
              <a:fgClr>
                <a:srgbClr xmlns:mc="http://schemas.openxmlformats.org/markup-compatibility/2006" xmlns:a14="http://schemas.microsoft.com/office/drawing/2010/main" val="333333" mc:Ignorable="a14" a14:legacySpreadsheetColorIndex="63"/>
              </a:fgClr>
              <a:bgClr>
                <a:srgbClr xmlns:mc="http://schemas.openxmlformats.org/markup-compatibility/2006" xmlns:a14="http://schemas.microsoft.com/office/drawing/2010/main" val="CCCCFF" mc:Ignorable="a14" a14:legacySpreadsheetColorIndex="31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2.7361351667896355E-2"/>
                  <c:y val="-2.5869340370836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3.047850556149061E-2"/>
                  <c:y val="-1.27470124487920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3.3595943972365677E-2"/>
                  <c:y val="-3.584352398416063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3.3991303321158718E-2"/>
                  <c:y val="-2.492171119289810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1">
                <a:noFill/>
              </a:ln>
            </c:spPr>
            <c:txPr>
              <a:bodyPr/>
              <a:lstStyle/>
              <a:p>
                <a:pPr>
                  <a:defRPr sz="82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Sheet1!$B$1:$E$1</c:f>
              <c:strCache>
                <c:ptCount val="4"/>
                <c:pt idx="0">
                  <c:v>зеленый</c:v>
                </c:pt>
                <c:pt idx="1">
                  <c:v>красный</c:v>
                </c:pt>
                <c:pt idx="2">
                  <c:v>синий</c:v>
                </c:pt>
                <c:pt idx="3">
                  <c:v>черный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38</c:v>
                </c:pt>
                <c:pt idx="1">
                  <c:v>13</c:v>
                </c:pt>
                <c:pt idx="2">
                  <c:v>46</c:v>
                </c:pt>
                <c:pt idx="3">
                  <c:v>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gapDepth val="0"/>
        <c:shape val="box"/>
        <c:axId val="142432512"/>
        <c:axId val="142450688"/>
        <c:axId val="0"/>
      </c:bar3DChart>
      <c:catAx>
        <c:axId val="14243251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4245068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4245068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42432512"/>
        <c:crosses val="autoZero"/>
        <c:crossBetween val="between"/>
      </c:valAx>
      <c:spPr>
        <a:noFill/>
        <a:ln w="25401">
          <a:noFill/>
        </a:ln>
      </c:spPr>
    </c:plotArea>
    <c:legend>
      <c:legendPos val="r"/>
      <c:layout>
        <c:manualLayout>
          <c:xMode val="edge"/>
          <c:yMode val="edge"/>
          <c:x val="0.83286908077994426"/>
          <c:y val="0.39572192513368987"/>
          <c:w val="0.15877437325905291"/>
          <c:h val="0.20855614973262032"/>
        </c:manualLayout>
      </c:layout>
      <c:overlay val="0"/>
      <c:spPr>
        <a:noFill/>
        <a:ln w="25401">
          <a:noFill/>
        </a:ln>
      </c:spPr>
      <c:txPr>
        <a:bodyPr/>
        <a:lstStyle/>
        <a:p>
          <a:pPr>
            <a:defRPr sz="755" b="1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82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8</Pages>
  <Words>2801</Words>
  <Characters>15969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2019-11-10T10:36:00Z</dcterms:created>
  <dcterms:modified xsi:type="dcterms:W3CDTF">2019-11-10T15:17:00Z</dcterms:modified>
</cp:coreProperties>
</file>