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6B" w:rsidRPr="004A1092" w:rsidRDefault="0009206B" w:rsidP="00695CB1">
      <w:pPr>
        <w:ind w:hanging="851"/>
        <w:rPr>
          <w:rFonts w:ascii="Times New Roman" w:hAnsi="Times New Roman" w:cs="Times New Roman"/>
        </w:rPr>
      </w:pPr>
    </w:p>
    <w:p w:rsidR="004A1092" w:rsidRPr="004A1092" w:rsidRDefault="004A1092" w:rsidP="004A109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A1092">
        <w:rPr>
          <w:rFonts w:ascii="Times New Roman" w:hAnsi="Times New Roman" w:cs="Times New Roman"/>
          <w:b/>
        </w:rPr>
        <w:t>АДМИНИСТРАЦИЯ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</w:t>
      </w:r>
      <w:r w:rsidRPr="004A1092">
        <w:rPr>
          <w:rFonts w:ascii="Times New Roman" w:hAnsi="Times New Roman" w:cs="Times New Roman"/>
          <w:b/>
        </w:rPr>
        <w:t>СЕРГИЕВО-ПОСАДСКИЙ ГОРОДСКОЙ ОКРУГ</w:t>
      </w:r>
      <w:r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Pr="004A1092">
        <w:rPr>
          <w:rFonts w:ascii="Times New Roman" w:hAnsi="Times New Roman" w:cs="Times New Roman"/>
          <w:b/>
        </w:rPr>
        <w:t>МОСКОВСКОЙ ОБЛАСТИ</w:t>
      </w:r>
      <w:r w:rsidRPr="004A10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</w:t>
      </w:r>
      <w:r w:rsidRPr="004A1092">
        <w:rPr>
          <w:rFonts w:ascii="Times New Roman" w:hAnsi="Times New Roman" w:cs="Times New Roman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 w:rsidRPr="004A1092">
        <w:rPr>
          <w:rFonts w:ascii="Times New Roman" w:hAnsi="Times New Roman" w:cs="Times New Roman"/>
        </w:rPr>
        <w:t>«Средняя общеобразовательная школа №25»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4A1092">
        <w:rPr>
          <w:rFonts w:ascii="Times New Roman" w:hAnsi="Times New Roman" w:cs="Times New Roman"/>
        </w:rPr>
        <w:t>141323, Московская область,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</w:t>
      </w:r>
      <w:r w:rsidRPr="004A1092">
        <w:rPr>
          <w:rFonts w:ascii="Times New Roman" w:hAnsi="Times New Roman" w:cs="Times New Roman"/>
        </w:rPr>
        <w:t>Сергиево-Посадский городской округ,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</w:t>
      </w:r>
      <w:proofErr w:type="spellStart"/>
      <w:r w:rsidRPr="004A1092">
        <w:rPr>
          <w:rFonts w:ascii="Times New Roman" w:hAnsi="Times New Roman" w:cs="Times New Roman"/>
        </w:rPr>
        <w:t>п</w:t>
      </w:r>
      <w:proofErr w:type="gramStart"/>
      <w:r w:rsidRPr="004A1092">
        <w:rPr>
          <w:rFonts w:ascii="Times New Roman" w:hAnsi="Times New Roman" w:cs="Times New Roman"/>
        </w:rPr>
        <w:t>.Л</w:t>
      </w:r>
      <w:proofErr w:type="gramEnd"/>
      <w:r w:rsidRPr="004A1092">
        <w:rPr>
          <w:rFonts w:ascii="Times New Roman" w:hAnsi="Times New Roman" w:cs="Times New Roman"/>
        </w:rPr>
        <w:t>оза</w:t>
      </w:r>
      <w:proofErr w:type="spellEnd"/>
      <w:r w:rsidRPr="004A1092">
        <w:rPr>
          <w:rFonts w:ascii="Times New Roman" w:hAnsi="Times New Roman" w:cs="Times New Roman"/>
        </w:rPr>
        <w:t>, д.21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4A1092">
        <w:rPr>
          <w:rFonts w:ascii="Times New Roman" w:hAnsi="Times New Roman" w:cs="Times New Roman"/>
          <w:lang w:val="en-US"/>
        </w:rPr>
        <w:t>e</w:t>
      </w:r>
      <w:r w:rsidRPr="004A1092">
        <w:rPr>
          <w:rFonts w:ascii="Times New Roman" w:hAnsi="Times New Roman" w:cs="Times New Roman"/>
        </w:rPr>
        <w:t>-</w:t>
      </w:r>
      <w:r w:rsidRPr="004A1092">
        <w:rPr>
          <w:rFonts w:ascii="Times New Roman" w:hAnsi="Times New Roman" w:cs="Times New Roman"/>
          <w:lang w:val="en-US"/>
        </w:rPr>
        <w:t>mail</w:t>
      </w:r>
      <w:r w:rsidRPr="004A1092">
        <w:rPr>
          <w:rFonts w:ascii="Times New Roman" w:hAnsi="Times New Roman" w:cs="Times New Roman"/>
        </w:rPr>
        <w:t xml:space="preserve">: </w:t>
      </w:r>
      <w:r w:rsidRPr="004A1092">
        <w:rPr>
          <w:rFonts w:ascii="Times New Roman" w:hAnsi="Times New Roman" w:cs="Times New Roman"/>
          <w:shd w:val="clear" w:color="auto" w:fill="FFFFFF"/>
          <w:lang w:val="en-US"/>
        </w:rPr>
        <w:t>school</w:t>
      </w:r>
      <w:r w:rsidRPr="004A1092">
        <w:rPr>
          <w:rFonts w:ascii="Times New Roman" w:hAnsi="Times New Roman" w:cs="Times New Roman"/>
          <w:shd w:val="clear" w:color="auto" w:fill="FFFFFF"/>
        </w:rPr>
        <w:t>25</w:t>
      </w:r>
      <w:proofErr w:type="spellStart"/>
      <w:r w:rsidRPr="004A1092">
        <w:rPr>
          <w:rFonts w:ascii="Times New Roman" w:hAnsi="Times New Roman" w:cs="Times New Roman"/>
          <w:shd w:val="clear" w:color="auto" w:fill="FFFFFF"/>
          <w:lang w:val="en-US"/>
        </w:rPr>
        <w:t>loza</w:t>
      </w:r>
      <w:proofErr w:type="spellEnd"/>
      <w:r w:rsidRPr="004A1092">
        <w:rPr>
          <w:rFonts w:ascii="Times New Roman" w:hAnsi="Times New Roman" w:cs="Times New Roman"/>
          <w:shd w:val="clear" w:color="auto" w:fill="FFFFFF"/>
        </w:rPr>
        <w:t>@</w:t>
      </w:r>
      <w:proofErr w:type="spellStart"/>
      <w:r w:rsidRPr="004A1092">
        <w:rPr>
          <w:rFonts w:ascii="Times New Roman" w:hAnsi="Times New Roman" w:cs="Times New Roman"/>
          <w:shd w:val="clear" w:color="auto" w:fill="FFFFFF"/>
          <w:lang w:val="en-US"/>
        </w:rPr>
        <w:t>yandex</w:t>
      </w:r>
      <w:proofErr w:type="spellEnd"/>
      <w:r w:rsidRPr="004A1092">
        <w:rPr>
          <w:rFonts w:ascii="Times New Roman" w:hAnsi="Times New Roman" w:cs="Times New Roman"/>
          <w:shd w:val="clear" w:color="auto" w:fill="FFFFFF"/>
        </w:rPr>
        <w:t>.</w:t>
      </w:r>
      <w:proofErr w:type="spellStart"/>
      <w:r w:rsidRPr="004A1092">
        <w:rPr>
          <w:rFonts w:ascii="Times New Roman" w:hAnsi="Times New Roman" w:cs="Times New Roman"/>
          <w:shd w:val="clear" w:color="auto" w:fill="FFFFFF"/>
          <w:lang w:val="en-US"/>
        </w:rPr>
        <w:t>ru</w:t>
      </w:r>
      <w:proofErr w:type="spellEnd"/>
    </w:p>
    <w:p w:rsidR="00695CB1" w:rsidRPr="004A1092" w:rsidRDefault="00695CB1" w:rsidP="004A1092">
      <w:pPr>
        <w:ind w:hanging="851"/>
        <w:jc w:val="center"/>
      </w:pPr>
    </w:p>
    <w:p w:rsidR="00695CB1" w:rsidRDefault="00695CB1" w:rsidP="004A1092"/>
    <w:p w:rsidR="004A1092" w:rsidRDefault="004A1092" w:rsidP="004A1092"/>
    <w:p w:rsidR="004A1092" w:rsidRPr="004A1092" w:rsidRDefault="004A1092" w:rsidP="004A1092">
      <w:pPr>
        <w:rPr>
          <w:rFonts w:ascii="Times New Roman" w:hAnsi="Times New Roman" w:cs="Times New Roman"/>
          <w:sz w:val="44"/>
          <w:szCs w:val="44"/>
        </w:rPr>
      </w:pPr>
    </w:p>
    <w:p w:rsidR="00695CB1" w:rsidRPr="004A1092" w:rsidRDefault="00695CB1" w:rsidP="00695C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695CB1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Доклад на тему:</w:t>
      </w:r>
    </w:p>
    <w:p w:rsidR="00695CB1" w:rsidRPr="00695CB1" w:rsidRDefault="00695CB1" w:rsidP="00695C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695CB1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«Профессиональная ориентация школьников».</w:t>
      </w:r>
    </w:p>
    <w:p w:rsidR="00695CB1" w:rsidRPr="004A1092" w:rsidRDefault="00695CB1" w:rsidP="00695CB1">
      <w:pPr>
        <w:ind w:hanging="851"/>
        <w:jc w:val="center"/>
        <w:rPr>
          <w:sz w:val="56"/>
          <w:szCs w:val="56"/>
        </w:rPr>
      </w:pPr>
    </w:p>
    <w:p w:rsidR="00695CB1" w:rsidRDefault="00695CB1" w:rsidP="00695CB1">
      <w:pPr>
        <w:ind w:hanging="851"/>
        <w:jc w:val="center"/>
      </w:pPr>
    </w:p>
    <w:p w:rsidR="004A1092" w:rsidRDefault="004A1092" w:rsidP="00695CB1">
      <w:pPr>
        <w:ind w:hanging="851"/>
        <w:jc w:val="center"/>
      </w:pPr>
    </w:p>
    <w:p w:rsidR="00695CB1" w:rsidRDefault="00695CB1" w:rsidP="00695CB1">
      <w:pPr>
        <w:ind w:hanging="851"/>
        <w:jc w:val="center"/>
      </w:pPr>
    </w:p>
    <w:p w:rsidR="00695CB1" w:rsidRPr="00695CB1" w:rsidRDefault="00695CB1" w:rsidP="00695CB1">
      <w:pPr>
        <w:ind w:hanging="851"/>
        <w:jc w:val="right"/>
        <w:rPr>
          <w:rFonts w:ascii="Times New Roman" w:hAnsi="Times New Roman" w:cs="Times New Roman"/>
          <w:sz w:val="28"/>
          <w:szCs w:val="28"/>
        </w:rPr>
      </w:pPr>
      <w:r w:rsidRPr="00695CB1">
        <w:rPr>
          <w:rFonts w:ascii="Times New Roman" w:hAnsi="Times New Roman" w:cs="Times New Roman"/>
          <w:sz w:val="28"/>
          <w:szCs w:val="28"/>
        </w:rPr>
        <w:t>Учитель Зиновьева Е.В.</w:t>
      </w:r>
    </w:p>
    <w:p w:rsidR="00695CB1" w:rsidRDefault="00695CB1" w:rsidP="00695CB1">
      <w:pPr>
        <w:ind w:hanging="851"/>
        <w:jc w:val="right"/>
      </w:pPr>
    </w:p>
    <w:p w:rsidR="00695CB1" w:rsidRDefault="00695CB1" w:rsidP="00695CB1">
      <w:pPr>
        <w:ind w:hanging="851"/>
        <w:jc w:val="right"/>
      </w:pPr>
    </w:p>
    <w:p w:rsidR="00695CB1" w:rsidRDefault="00695CB1" w:rsidP="00695CB1">
      <w:pPr>
        <w:ind w:hanging="851"/>
        <w:jc w:val="right"/>
      </w:pPr>
    </w:p>
    <w:p w:rsidR="00695CB1" w:rsidRDefault="00695CB1" w:rsidP="00695CB1">
      <w:pPr>
        <w:ind w:hanging="851"/>
        <w:jc w:val="right"/>
      </w:pPr>
    </w:p>
    <w:p w:rsidR="00695CB1" w:rsidRDefault="00695CB1" w:rsidP="004A1092"/>
    <w:p w:rsidR="00695CB1" w:rsidRDefault="00695CB1" w:rsidP="00695CB1">
      <w:pPr>
        <w:ind w:hanging="851"/>
        <w:jc w:val="right"/>
      </w:pPr>
    </w:p>
    <w:p w:rsidR="00695CB1" w:rsidRPr="004A1092" w:rsidRDefault="00695CB1" w:rsidP="00695CB1">
      <w:pPr>
        <w:ind w:hanging="851"/>
        <w:jc w:val="center"/>
        <w:rPr>
          <w:rFonts w:ascii="Times New Roman" w:hAnsi="Times New Roman" w:cs="Times New Roman"/>
          <w:sz w:val="28"/>
          <w:szCs w:val="28"/>
        </w:rPr>
      </w:pPr>
      <w:r w:rsidRPr="004A1092">
        <w:rPr>
          <w:rFonts w:ascii="Times New Roman" w:hAnsi="Times New Roman" w:cs="Times New Roman"/>
          <w:sz w:val="28"/>
          <w:szCs w:val="28"/>
        </w:rPr>
        <w:t>2020-2021 учебный год</w:t>
      </w:r>
    </w:p>
    <w:p w:rsidR="00695CB1" w:rsidRPr="00695CB1" w:rsidRDefault="00695CB1" w:rsidP="00695C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Профессиональная ориентация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это система подготовки учащихся к свободному самостоятельному 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выбору 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профессии. Профессиональная ориентация учащихся общеобразовательных школ является органической частью системы воспитания. Ее осуществляет весь педагогический коллектив школы в соответствии с программой общеобразовательной школы.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 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школе — вооружить школьников системой знаний об основах современного производства, массовых профессиях, потребностях в них, правилах выбора профессии.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695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Профориетационная</w:t>
      </w:r>
      <w:proofErr w:type="spellEnd"/>
      <w:r w:rsidRPr="00695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работа осуществляется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процессе школьной и внешкольной работы. Профессиональная ориентация осуществляется с учетом возрастных особенностей школьников. Знание того, почему человек избрал ту или иную профессию, позволяет предвидеть, насколько успешно он будет ею овладевать, насколько серьезно, увлеченно будет работать, насколько устойчивым будет интерес к избранной деятельности, для того чтобы лучше ориентироваться в большом разнообразии мотивов, можно разделить их </w:t>
      </w:r>
      <w:proofErr w:type="gram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внутренние и внешние. 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Внутренние мотивы 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выбора той или иной профессии — ее общественная и личная значимость; удовлетворение, которое приносит работа благодаря ее творческому характеру, возможность общения, руководства другими людьми и т.д. Внутренняя мотивация возникает из потребностей самого человека, поэтому на ее основе человек трудится с удовольствием, без внешнего давления.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Внешняя мотивация 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это заработок, стремление к престижу, боязнь осуждения, неудачи. Внешние мотивы можно разделить </w:t>
      </w:r>
      <w:proofErr w:type="gram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положительные и отрицательные. К положительным мотивам относятся; материальное стимулирование, возможность продвижения по службе, одобрение коллектива, престиж, т.е. стимулы, ради которых человек считает нужным приложить свои усилия. К отрицательным мотивам относятся воздействия на личность путем давления, наказаний, критики, осуждения и других санкций негативного характера. Исследования показывают, что преобладание внутренних мотивов наиболее эффективно с точки зрения удовлетворенности трудом и его производительности. То же самое можно сказать и относительно положительной внешней мотивации.</w:t>
      </w:r>
    </w:p>
    <w:p w:rsidR="00695CB1" w:rsidRPr="00695CB1" w:rsidRDefault="00695CB1" w:rsidP="00695C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Готовность к выбору профессионального пути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учащийся оценивает достигнутые им успехи в учебной деятельности?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По каким учебным предметам, по его мнению, будут нужны знания в дальнейшей профессиональной деятельности?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Считает ли учащийся, что сможет осуществить свои профессиональные намерения? Что этому может помешать?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В случае неосуществления основных планов есть ли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запасные?</w:t>
      </w:r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bookmarkStart w:id="0" w:name="_GoBack"/>
      <w:bookmarkEnd w:id="0"/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Советы и рекомендации учащемуся по подготовке к выбору профессионального пути.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Литература для чтения.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Кружок, факультатив, углубленное изучение отдельных предметов.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Тема доклада в классе об избираемой профессии.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4. 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 со специалистом.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5. 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Советы по развитию, совершенст</w:t>
      </w:r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вованию индивидуальных качеств.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Предварительная беседа поможет учителю – предметнику, классному руководителю и психологу сориентироваться в подготовке </w:t>
      </w:r>
      <w:proofErr w:type="gram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первичной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профконсультации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учащихся, их педагогов и родителей. Ему очень важно также разобраться в мотивах выбора профессии. При выборе профессии человек руководствуется следующими мотивами: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общественной значимостью профессии, б) престижем, заработком,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возможностью продвижения по службе.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Отрицательные последствия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неправильно выбранной профессии затрагивают как самого человека, так и все общество. По подсчетам ученых, правильный выбор профессии в 2—2,5 раза уменьшает текучесть кадров, на 10—15% увеличивается производительность труда.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означает правильный выбор профессии? Любой выбор профессии можно рассматривать как взаимодействие двух сторон: подростка с его индивидуальными особенностями, которые проявляются в физическом развитии, в возможностях, интересах, склонностях, характере и темпераменте, и специальности с теми требованиями, которые она предъявляет человеку. При правильном выборе индивидуальные особенности подростка совпадают с требованиями профессии.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Профессиональная ориентация — руководство выбором профессии, оказание помощи в выборе профессии, наиболее отвечающей индивидуальным особенностям, склонностям и способностям человека.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Существует множество теорий профориентации, отцом которой по праву считают практического психолога Френка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Парсона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основе его теории лежат </w:t>
      </w:r>
      <w:r w:rsidRPr="00695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 фактора:</w:t>
      </w:r>
      <w:r w:rsidRPr="00695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— индивидуальные способности и особенности, возможности, умения, интересы человека;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 — особенности профессии, требования, которые она предъявляет к человеку;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правильное соотношение между собой 1-го и 2-го факторов.</w:t>
      </w:r>
    </w:p>
    <w:p w:rsidR="00695CB1" w:rsidRPr="00695CB1" w:rsidRDefault="00695CB1" w:rsidP="00695C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нас в стране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существует несколько концепций профориентации. Например, концепция индивидуального стиля деятельности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Е.А.Климова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концепция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К.М.Гуревича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который выделяет 2 вида профпригодности: абсолютную и относительную, в зависимости от основных свойств нервной системы человека; существует концепция профессиональной адаптации. Ведущую роль в оказании помощи учителям в повышении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направленности преподавания призваны сыграть методические объединения. </w:t>
      </w:r>
      <w:proofErr w:type="gram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их компетенции рассмотрение таких вопросов, как: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изучение членами методического объединения целей, принципов, задач основного содержания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школе; форм и методов ее осуществления, особенностей профориентации на уроках, во внеклассной образовательной работе по предмету;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анализ учебных программ по предмету в каждом классе с целью выявления оптимальных возможностей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как на уроках, так и во внеурочное время;</w:t>
      </w:r>
      <w:proofErr w:type="gram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обсуждение на заседаниях результатов проведенного анализа и выработка практических рекомендаций;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проведение семинаров по обмену опытом работы, по изучению специальной научно-методической литературы;</w:t>
      </w:r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выпуск методических пособий, основанных на позитивном опыте учителей школы, района.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Особое место в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учащимися в процессе усвоения основ наук должны занять факультативы. Они служат своеобразным продолжением учебных занятий и решают специфические задачи: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способствуют закреплению и дальнейшему развитию интереса учащегося к различным отраслям знаний или видам трудовой деятельности;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обеспечивают углубленную теоретическую и практическую подготовку в избранном направлении;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дают возможность на деле проверить свои силы и способности.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это, бесспорно, содействует сознательному выбору профессии. Особую ценность представляют те факультативы, которые включают учащихся в серьезную исследовательскую работу, приближают их к условиям производства, убеждают в практической целесообразности их деятельности. Организация таких факультативов, целесообразность которых в конкретной школе обусловлена спецификой данного экономического района, позволяет решать проблему подготовки учащегося к выбору профессии с учетом потребности районного хозяйства в кадрах. Учебная программа едина для всех, и поэтому в процессе преподавания не всегда возможно учесть интересы и склонности каждого ученика в отдельности. В подготовке учащихся к сознательному выбору профессии большое значение имеет совершенствование работ по активизации их самостоятельной творческой деятельности: проведение олимпиад, конкурсов, создание научно-ученических обществ.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профессиональной консультации психолог пользуется системой методов и показателей, которые наглядно можно представить таким образом: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 обратить внимание, чем занимается в свободное от уроков время учащийся, к каким видам деятельности проявляет особый интерес, какими профессиями интересуется. Совершенствование всей системы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школе связано с наиболее целенаправленным использованием возможностей учебного процесса в целом, каждого учебного предмета, в частности, для подготовки учащегося к осознанному выбору профессии. Урок, являясь основной организационной формой учебно-воспитательного процесса в школе, должен стать базой формирования профессиональных интересов и воспитания готовности к профессиональному самоопределению. Работа по профессиональной ориентации должна проводиться на уроках систематически, последовательно, с учетом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общеобразовательного уровня, интересов, склонностей учащихся: она должна стать органической частью урока. По данным учителей-практиков в процессе преподавания основ наук можно более или менее подробно ознакомить учащегося со 150—160 профессиями.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Формы проведения профориентации на уроках различны. Исходя из содержания, логики урока, учитель может в форме определенных замечаний и вставок, коротких рассказов и бесед, устных и письменных упражнений, при выполнении лабораторных работ, в процессе решения задач. Усилить интерес учащихся, расширить их представление об определенных профессиях, ознакомить школьников с отраслями предприятиями и учреждениями и другими вопросами, необходимыми для сознательного выбора профессии. Дозировка времени, отведенного на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профориентационную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работу в ходе урока, уровень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направленности урока зависят от специфики предмета, изучаемой темы, подготовленности учащихся, личности учителя и его мастерства. Наибольшими возможностями для профессиональной информации располагают такие предметы, как география, обществоведение, история, физика, химия, биология</w:t>
      </w:r>
      <w:proofErr w:type="gram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Условно в работе учителя-предметника по профориентации учащихся можно выделить следующие направления:</w:t>
      </w:r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морально-этическая подготовка к трудовой деятельности;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общая политехническая подготовка; профессиональная информация;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изучение и формирование профессиональных интересов;</w:t>
      </w:r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педагогическая консультация.</w:t>
      </w:r>
      <w:r w:rsid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Д</w:t>
      </w:r>
      <w:r w:rsidRPr="00695CB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ля школы профориентация — нелегкая задача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изучать со школьниками мир профессионального труда, когда профессий насчитывается около десяти тысяч? Многие справочные и рекламные издания представляют собой довольно бессистемное перечисление возможных путей продолжения образования. Быстро, раз и навсегда профессию выбрать невозможно. Тем более если это не достаточно определенная и не очень конкретная профессия. Но практически каждому из будущих выпускников предстоит разложить по полочкам аргументы за и против той или иной вполне конкретной специальности, должности, социально-профессиональной роли, жизненной миссии. И в чем-то может помочь именно школа, а не родители или даже социум.</w:t>
      </w:r>
    </w:p>
    <w:p w:rsidR="00695CB1" w:rsidRPr="00695CB1" w:rsidRDefault="00695CB1" w:rsidP="00695C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это, бесспорно, содействует сознательному выбору профессии. Особую ценность представляют те факультативы, которые включают учащихся в серьезную исследовательскую работу, приближают их к условиям производства, убеждают в практической целесообразности их деятельности. Организация таких факультативов, целесообразность которых в конкретной школе обусловлена спецификой данного экономического района, позволяет решать проблему подготовки учащегося к выбору профессии с учетом потребности районного хозяйства в кадрах. Учебная программа едина для всех, и поэтому в процессе преподавания не всегда возможно учесть интересы и склонности каждого ученика в отдельности. Тогда на помощь педагогическим коллективам должна прийти внеклассная и внешкольная работа, располагающая при правильной организации богатейшими возможностями для творчества учащихся, выявления и формирования профессиональных интересов.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Важнейшая задача здесь — расширение профиля различных секций, студий, чтобы охватить ими разносторонние интересы учащихся. Следует шире использовать опыт активизации технического и других видов творчества учащихся на базе местного производства. В подготовке учащихся к сознательному выбору профессии большое значение имеет совершенствование работ по активизации их самостоятельной творческой деятельности; проведение олимпиад, конкурсов, создание научно-ученических обществ, школ юного педагога и т. д. Современная педагогическая наука, опираясь на опыт работы по профориентации передовых педагогических коллективов, определила ведущие методы и формы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деятельности. Много трудностей, тревог и радостных переживаний ждет их в решении проблем самой сложной системы «человек—человек»; действительно, быть «инженером человеческих душ, </w:t>
      </w:r>
      <w:proofErr w:type="spellStart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человековедом</w:t>
      </w:r>
      <w:proofErr w:type="spellEnd"/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занятие кр</w:t>
      </w:r>
      <w:r w:rsidRPr="004A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айне сложное, но самое гуманное 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интересное. В такой работе трудно найти себя, но еще труднее разочароваться.</w:t>
      </w:r>
      <w:r w:rsidRPr="0069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Пожалуй, самое важное для молодого человека – выбор жизненного пути, я хочу ещё раз подчеркнуть роль обоснованных рекомендаций школьного психолога, классного руководителя и учителей технологии, которые могут правильно указать на выбор той или иной профессии.</w:t>
      </w:r>
    </w:p>
    <w:sectPr w:rsidR="00695CB1" w:rsidRPr="00695CB1" w:rsidSect="004A1092">
      <w:pgSz w:w="11906" w:h="16838"/>
      <w:pgMar w:top="1134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236CD"/>
    <w:multiLevelType w:val="multilevel"/>
    <w:tmpl w:val="14600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B1"/>
    <w:rsid w:val="0009206B"/>
    <w:rsid w:val="004A1092"/>
    <w:rsid w:val="0069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95C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5C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9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ination">
    <w:name w:val="pagination"/>
    <w:basedOn w:val="a0"/>
    <w:rsid w:val="00695CB1"/>
  </w:style>
  <w:style w:type="character" w:styleId="a4">
    <w:name w:val="Hyperlink"/>
    <w:basedOn w:val="a0"/>
    <w:uiPriority w:val="99"/>
    <w:semiHidden/>
    <w:unhideWhenUsed/>
    <w:rsid w:val="00695C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5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5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95C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5C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9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ination">
    <w:name w:val="pagination"/>
    <w:basedOn w:val="a0"/>
    <w:rsid w:val="00695CB1"/>
  </w:style>
  <w:style w:type="character" w:styleId="a4">
    <w:name w:val="Hyperlink"/>
    <w:basedOn w:val="a0"/>
    <w:uiPriority w:val="99"/>
    <w:semiHidden/>
    <w:unhideWhenUsed/>
    <w:rsid w:val="00695C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5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5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8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30794">
          <w:marLeft w:val="435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6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19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33015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9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2170</Words>
  <Characters>12374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2020-09-17T09:49:00Z</dcterms:created>
  <dcterms:modified xsi:type="dcterms:W3CDTF">2020-09-17T10:09:00Z</dcterms:modified>
</cp:coreProperties>
</file>