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89" w:rsidRPr="00733F89" w:rsidRDefault="00733F89" w:rsidP="00733F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ДОКЛАД</w:t>
      </w:r>
    </w:p>
    <w:p w:rsidR="00096C91" w:rsidRPr="00733F89" w:rsidRDefault="00733F89" w:rsidP="00733F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«ОГЭ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: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современный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подход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к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оценке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качества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образования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на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        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уроках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истории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обществознания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: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проблемы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 </w:t>
      </w:r>
      <w:r w:rsidRPr="00733F89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перспективы</w:t>
      </w:r>
      <w:r w:rsidRPr="00733F89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».</w:t>
      </w:r>
    </w:p>
    <w:p w:rsidR="00733F89" w:rsidRPr="00733F89" w:rsidRDefault="00733F89" w:rsidP="0016412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3B782D" w:rsidRPr="00733F89" w:rsidRDefault="003B782D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  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ближайшие годы обучающиеся будут сдавать ОГЭ по обществознанию в соответствии с федеральным государственным образовательным стандартом (далее — ФГОС).</w:t>
      </w:r>
      <w:r w:rsid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proofErr w:type="gram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ФГОС ориентирован на результат — достижение определённого уровня </w:t>
      </w:r>
      <w:proofErr w:type="spell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сформированности</w:t>
      </w:r>
      <w:proofErr w:type="spell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комплекса </w:t>
      </w:r>
      <w:proofErr w:type="spell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метапредметных</w:t>
      </w:r>
      <w:proofErr w:type="spell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и предметных умений, личностных качеств обучающихся, приобретение опыта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  <w:t xml:space="preserve">применения предметных знаний в практической деятельности при выполнении типичных для подростка социальных ролей. </w:t>
      </w:r>
      <w:proofErr w:type="gramEnd"/>
    </w:p>
    <w:p w:rsidR="003B782D" w:rsidRPr="00733F89" w:rsidRDefault="003B782D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   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сравнении с Федеральным компонентом государственного образовательного стандарта во ФГОС существенным образом изменился объект учебной деятельности и объект оценки результатов обучения — акцент делается не на освоении определённого объёма знаний, но на способности применить имеющиеся знания для решения учебных и практических задач разной сложности, рефлексии личного социального опыта. Таким образом, объектом проверки в рамках государственной итоговой аттестации становится </w:t>
      </w:r>
      <w:proofErr w:type="spell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сформированность</w:t>
      </w:r>
      <w:proofErr w:type="spell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разнообразных умений. Вне всякого сомнения, проверка знаний также должна проводиться, но в большей степени в рамках текущего и рубежного контроля. В соответствии с требованиями ФГОС перспективная модель КИМ ОГЭ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по обществознанию построена в </w:t>
      </w:r>
      <w:proofErr w:type="spell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деятельностной</w:t>
      </w:r>
      <w:proofErr w:type="spell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парадигме.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  <w:t xml:space="preserve">     Экзаменационная модель построена на тех же идеях, что и сам учебный предмет. Так в перспективной модели КИМ ОГЭ по обществознанию реализованы следующие концептуальные идеи:</w:t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</w:r>
      <w:r w:rsidR="0016412F"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="0016412F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Воспитание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РФ.</w:t>
      </w:r>
      <w:r w:rsidR="0016412F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Реализация </w:t>
      </w:r>
      <w:proofErr w:type="gram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</w:t>
      </w:r>
      <w:proofErr w:type="gram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proofErr w:type="gramStart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КИМ</w:t>
      </w:r>
      <w:proofErr w:type="gramEnd"/>
      <w:r w:rsidR="0016412F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данной идеи определяет отбор материала для составления заданий (преобладание российского контекста) и конструкцию экзаменационной модели, в частности, выделение линий заданий по Конституции РФ.</w:t>
      </w:r>
    </w:p>
    <w:p w:rsidR="003B782D" w:rsidRPr="00733F89" w:rsidRDefault="0016412F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Формирование позитивных ценностно-смысловых установок, отражающих личностные и гражданские позиции в деятельности, способность ставить цели и строить жизненные планы.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Эта идея также реализуется в отборе материала для составления заданий: ценностно-окрашенные тексты, материалы социологических опросов, примеры социальных ситуаций для анализа.</w:t>
      </w:r>
      <w:r w:rsidR="00096C91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Опора на современные научные взгляды.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основе экзаменационной модели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ключевые понятия, теоретические положения социальной философии, социологии,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экономики, </w:t>
      </w:r>
      <w:proofErr w:type="spell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культурологии</w:t>
      </w:r>
      <w:proofErr w:type="spell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политологии,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юриспруденции.</w:t>
      </w:r>
    </w:p>
    <w:p w:rsidR="003B782D" w:rsidRPr="00733F89" w:rsidRDefault="0016412F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Создание относительно целостной системы заданий, отвечающей потребностям,</w:t>
      </w:r>
      <w:r w:rsidR="00642A28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интересам и возрастным возможностям</w:t>
      </w:r>
      <w:r w:rsidR="00642A28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школьников.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Экзаменационная модель построена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определённой содержательной логике,</w:t>
      </w:r>
      <w:r w:rsidR="00AB33AE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а не 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 xml:space="preserve">просто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механически поделена на части в зависимости от формы записи ответ</w:t>
      </w:r>
      <w:proofErr w:type="gram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а(</w:t>
      </w:r>
      <w:proofErr w:type="gram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часть 1 — задания с кратким ответом, часть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2 — задания с развёрнутым ответом). В со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вокупности в работе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представлены все ключевые для обществознания умения. В соответствии с возрастными познавательными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возможностями школьников сформированы блоки </w:t>
      </w:r>
      <w:proofErr w:type="spell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разноуровневых</w:t>
      </w:r>
      <w:proofErr w:type="spell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заданий, относящихся к одному содержательному контексту. Кроме того, в этих тематических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  <w:t>блоках, представлены задания, отражающие специфические для соответствующей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  <w:t>социально-гуманитарной науки виды познавательной деятельности (например,</w:t>
      </w:r>
      <w:r w:rsidR="00366C13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рассуждение по этическим вопросам в социальной философии, анализ статистической информации в социологии).</w:t>
      </w:r>
    </w:p>
    <w:p w:rsidR="003B782D" w:rsidRPr="00733F89" w:rsidRDefault="0016412F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Практико-ориентированный характер заданий: готовность обучающихся использовать приобретённые знания и умения</w:t>
      </w:r>
      <w:r w:rsidR="00AB33AE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в практической деятельности и повседневной жизни для успешного выполнения типичных социальных ролей человека и гражданина.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Большинство заданий перспективной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модели КИМ ОГЭ построены на контексте жизненных ситуаций, отражающих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выполнение типичных социальных ролей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человека и гражданина.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Ориентированность на универсальные</w:t>
      </w:r>
      <w:r w:rsidR="00AB33AE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учебные действия школьников — регулятивные, познавательные, коммуникативные.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Уровень </w:t>
      </w:r>
      <w:proofErr w:type="spell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сформированности</w:t>
      </w:r>
      <w:proofErr w:type="spell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у обучающихся универсальных учебных действий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проявляется на всех этапах подготовки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 экзамену и сдачи ОГЭ. Это способность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обучающихся организовать и контролировать подготовку к экзамену и выполнение заданий во время экзамена. Отметим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особо, что правильность записи ответов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бланки также является результатом применения универсальных учебных действий и, по сути, одним из объектов оценивания.</w:t>
      </w:r>
    </w:p>
    <w:p w:rsidR="006D4BB0" w:rsidRPr="00733F89" w:rsidRDefault="0016412F" w:rsidP="006D4BB0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215D68"/>
          <w:sz w:val="28"/>
          <w:szCs w:val="28"/>
          <w:lang w:eastAsia="ru-RU"/>
        </w:rPr>
        <w:t xml:space="preserve">■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Осуществление самостоятельного поиска, анализа и использования собранной социальной информации из различных источников; критическое восприятие информации,</w:t>
      </w:r>
      <w:r w:rsidR="00642A28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получаемой при межличностном общении и</w:t>
      </w:r>
      <w:r w:rsidR="00642A28"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t>из СМИ.</w:t>
      </w:r>
      <w:r w:rsidRPr="00733F89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 перспективной модели КИМ широко представлены различные источники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информации (текстовой, статистической,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визуальной) и востребована грамотность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чтения, способность к анализу и интерпретации информации, интеграции информации из разных источников, её обогащение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контекстными обществоведческими знаниями.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</w:r>
      <w:r w:rsidR="003B782D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 уже было отмечено, перспективная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модель имеет иную, чем действующая модель ОГЭ, логику построения, основанную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на </w:t>
      </w:r>
      <w:proofErr w:type="spell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деятельностном</w:t>
      </w:r>
      <w:proofErr w:type="spell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подходе. В действующей модели такой принцип реализовывался только в заданиях 21–31, в то время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как задания 1–20 проверяли содержание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основных разделов курса. В основе перспективной модели задания, проверяющие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  <w:t>понимание и умение применять в различных контекстах ключевые обществоведческие понятия, теоретические положения;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анализировать практические ситуации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социальных взаимодействий; сравнивать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социальные объекты, явления, процессы;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извлекать, анализировать и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интерпретиро</w:t>
      </w:r>
      <w:proofErr w:type="spell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br/>
      </w:r>
      <w:proofErr w:type="spellStart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вать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социальную информацию, представленную в разных формах (текст, условно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графические формы, изображения); рассуждать, аргументировать своё мнение.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lastRenderedPageBreak/>
        <w:t>Ориентиром является Примерная основная образовательная программа (далее ПООП)</w:t>
      </w:r>
      <w:r w:rsidR="00642A28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по обществознанию, в которой определены традиционные для предмета (выделенные и в Федеральном компоненте государственного образовательного стандарта) содержательные линии</w:t>
      </w:r>
      <w:r w:rsidR="002346B4" w:rsidRPr="00733F89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.</w:t>
      </w:r>
    </w:p>
    <w:p w:rsidR="002346B4" w:rsidRPr="00733F89" w:rsidRDefault="003B782D" w:rsidP="002346B4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основная образовательная программа (далее ПООП) по обществознанию определяет содержательные линии «Человек. Деятельность человека», «Общество», «Социальные нормы», «Сфера </w:t>
      </w:r>
      <w:proofErr w:type="spellStart"/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духовнои</w:t>
      </w:r>
      <w:proofErr w:type="spellEnd"/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̆ культуры», «Социальная сфера», «Политическая сфера жизни общества», «Гра</w:t>
      </w:r>
      <w:r w:rsid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жданин и государство», «Основы </w:t>
      </w:r>
      <w:proofErr w:type="spellStart"/>
      <w:r w:rsid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оссийского</w:t>
      </w:r>
      <w:proofErr w:type="spellEnd"/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законодательства», «Экономика». </w:t>
      </w:r>
    </w:p>
    <w:p w:rsidR="00AB33AE" w:rsidRPr="00733F89" w:rsidRDefault="00AB33AE" w:rsidP="002346B4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2346B4" w:rsidRPr="00733F89" w:rsidRDefault="00AB33AE" w:rsidP="002346B4">
      <w:pPr>
        <w:spacing w:after="0" w:line="240" w:lineRule="auto"/>
        <w:ind w:left="-709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удобства участников экзамена задания (возможность сконцентрироваться на </w:t>
      </w:r>
      <w:proofErr w:type="spellStart"/>
      <w:proofErr w:type="gramStart"/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определённом</w:t>
      </w:r>
      <w:proofErr w:type="spellEnd"/>
      <w:proofErr w:type="gramEnd"/>
      <w:r w:rsidR="002346B4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содержательном контексте) сгруппированы в несколько содержательных блоков (таблица 1). </w:t>
      </w:r>
    </w:p>
    <w:tbl>
      <w:tblPr>
        <w:tblW w:w="9923" w:type="dxa"/>
        <w:tblInd w:w="-565" w:type="dxa"/>
        <w:tblCellMar>
          <w:left w:w="0" w:type="dxa"/>
          <w:right w:w="0" w:type="dxa"/>
        </w:tblCellMar>
        <w:tblLook w:val="04A0"/>
      </w:tblPr>
      <w:tblGrid>
        <w:gridCol w:w="4395"/>
        <w:gridCol w:w="5528"/>
      </w:tblGrid>
      <w:tr w:rsidR="002346B4" w:rsidRPr="00733F89" w:rsidTr="002346B4">
        <w:trPr>
          <w:trHeight w:val="46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Содержательные блоки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задания в </w:t>
            </w: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КИМе</w:t>
            </w:r>
            <w:proofErr w:type="spell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46B4" w:rsidRPr="00733F89" w:rsidTr="002346B4">
        <w:trPr>
          <w:trHeight w:val="41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“Человек и общество”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2, 3 </w:t>
            </w:r>
          </w:p>
        </w:tc>
      </w:tr>
      <w:tr w:rsidR="002346B4" w:rsidRPr="00733F89" w:rsidTr="002346B4">
        <w:trPr>
          <w:trHeight w:val="41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“Сфера духовной культуры”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4, 5 </w:t>
            </w:r>
          </w:p>
        </w:tc>
      </w:tr>
      <w:tr w:rsidR="002346B4" w:rsidRPr="00733F89" w:rsidTr="002346B4">
        <w:trPr>
          <w:trHeight w:val="41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“Экономика”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6-9 </w:t>
            </w:r>
            <w:proofErr w:type="gram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№6 проверяет основы финансовой грамотности) </w:t>
            </w:r>
          </w:p>
        </w:tc>
      </w:tr>
      <w:tr w:rsidR="002346B4" w:rsidRPr="00733F89" w:rsidTr="002346B4">
        <w:trPr>
          <w:trHeight w:val="41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“Социальная сфера”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10-11 </w:t>
            </w:r>
          </w:p>
        </w:tc>
      </w:tr>
      <w:tr w:rsidR="002346B4" w:rsidRPr="00733F89" w:rsidTr="002346B4">
        <w:trPr>
          <w:trHeight w:val="451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“Сфера политики и социального управления”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13-14 </w:t>
            </w:r>
          </w:p>
        </w:tc>
      </w:tr>
      <w:tr w:rsidR="002346B4" w:rsidRPr="00733F89" w:rsidTr="002346B4">
        <w:trPr>
          <w:trHeight w:val="410"/>
        </w:trPr>
        <w:tc>
          <w:tcPr>
            <w:tcW w:w="4395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“Право” </w:t>
            </w:r>
          </w:p>
        </w:tc>
        <w:tc>
          <w:tcPr>
            <w:tcW w:w="5528" w:type="dxa"/>
            <w:tcBorders>
              <w:top w:val="single" w:sz="6" w:space="0" w:color="9E9E9E"/>
              <w:left w:val="single" w:sz="6" w:space="0" w:color="9E9E9E"/>
              <w:bottom w:val="single" w:sz="6" w:space="0" w:color="9E9E9E"/>
              <w:right w:val="single" w:sz="6" w:space="0" w:color="9E9E9E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2346B4" w:rsidRPr="00733F89" w:rsidRDefault="002346B4" w:rsidP="0023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16-18 </w:t>
            </w:r>
          </w:p>
        </w:tc>
      </w:tr>
    </w:tbl>
    <w:p w:rsidR="003B782D" w:rsidRPr="00733F89" w:rsidRDefault="003B782D" w:rsidP="00AB33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Каждое задание проверяет определенное умение.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№1-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знать/понимать: социальные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свойства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его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взаимодействие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людьми; сущность общества как формы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деятельности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̆; характерные черты и признаки основных сфер жизни общества; содержание и значение социальных норм, регулирующих общественные отношения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558304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Google Shape;102;p21"/>
                    <pic:cNvPicPr preferRelativeResize="0"/>
                  </pic:nvPicPr>
                  <pic:blipFill>
                    <a:blip r:embed="rId6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Структура задания: дан перечень из пяти понятий, среди которых следует установить те, которые относятся к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gram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̈х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жизни.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правильное выполнение задания оценивается 2 баллами. В правильном ответе должны быть следующие элементы: </w:t>
      </w:r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1) </w:t>
      </w:r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термины</w:t>
      </w:r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 власть, демократия; 2)</w:t>
      </w:r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смысл термина, </w:t>
      </w:r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например: власть – возможность навязать свою волю, управлять или </w:t>
      </w:r>
      <w:proofErr w:type="spellStart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воздействовать</w:t>
      </w:r>
      <w:proofErr w:type="spellEnd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 других </w:t>
      </w:r>
      <w:proofErr w:type="spellStart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людеи</w:t>
      </w:r>
      <w:proofErr w:type="spellEnd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̆/ демократия – </w:t>
      </w:r>
      <w:proofErr w:type="spellStart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политическии</w:t>
      </w:r>
      <w:proofErr w:type="spellEnd"/>
      <w:r w:rsidRPr="00733F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̆ режим, при котором источником власти является сам народ. (Может быть приведено иное, близкое по смыслу определение или объяснение смысла понятия.)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должен в свободном стиле изложить суть понятия, используя умение выявить признаки, структуру, а не заучивание термина.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записываются в бланк №2!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3, 5, 9, 11, 14, 15, 18, 20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объяснять взаимосвязи изученных социальных объектов (включая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взаимодействия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и природы, человека и общества, сфер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жизни, гражданина и государства).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630260"/>
            <wp:effectExtent l="19050" t="0" r="3175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Google Shape;126;p25"/>
                    <pic:cNvPicPr preferRelativeResize="0"/>
                  </pic:nvPicPr>
                  <pic:blipFill>
                    <a:blip r:embed="rId7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3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2, 4, 6, 8, 13, 17 –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приводить примеры социальных объектов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определённого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социальных отношений, а также ситуаций, регулируемых различными видами социальных норм, деятельности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̆ в различных сферах</w:t>
      </w:r>
      <w:proofErr w:type="gram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/ИЛИ умение решать в рамках изученного материала познавательные и практические задачи, отражающие типичные ситуации в различных сферах деятельности человека.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507025"/>
            <wp:effectExtent l="1905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Google Shape;108;p22"/>
                    <pic:cNvPicPr preferRelativeResize="0"/>
                  </pic:nvPicPr>
                  <pic:blipFill>
                    <a:blip r:embed="rId8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0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записываются в бланк №2!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82D" w:rsidRPr="00733F89" w:rsidRDefault="003B782D" w:rsidP="00366C13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1920570"/>
            <wp:effectExtent l="1905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Google Shape;109;p22"/>
                    <pic:cNvPicPr preferRelativeResize="0"/>
                  </pic:nvPicPr>
                  <pic:blipFill>
                    <a:blip r:embed="rId9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7, 10, 16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описывать основные социальные объекты, явления, процессы с выделением их существенных признаков, структурных элементов и основных функции</w:t>
      </w:r>
      <w:proofErr w:type="gram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̆ И</w:t>
      </w:r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/ИЛИ умение решать в рамках изученного материала познавательные и практические задачи, отражающие типичные ситуации в различных сферах деятельности человека.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12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осуществлять поиск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информации по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теме из различных её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носителеи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(материалов СМИ, учебного текста и других адаптированных источников) И умение оценивать поведение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с точки зрения социальных норм,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рациональности.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98753"/>
            <wp:effectExtent l="19050" t="0" r="3175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Google Shape;115;p23"/>
                    <pic:cNvPicPr preferRelativeResize="0"/>
                  </pic:nvPicPr>
                  <pic:blipFill>
                    <a:blip r:embed="rId10" cstate="print">
                      <a:alphaModFix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9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получения максимального балла, выполняя задание № 12,     (4 балла) девятиклассник должен сформулировать по одному выводу и высказать предположения. Правильный ответ содержит выводы и высказаны предположения: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а) о сходстве, например: граждане всех возрастных групп в </w:t>
      </w:r>
      <w:proofErr w:type="spellStart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равнои</w:t>
      </w:r>
      <w:proofErr w:type="spellEnd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̆ мере считают, что человеку нужно знать конституционное право (так как </w:t>
      </w:r>
      <w:proofErr w:type="spellStart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lastRenderedPageBreak/>
        <w:t>каждыи</w:t>
      </w:r>
      <w:proofErr w:type="spellEnd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̆ гражданин должен знать свои права и обязанности, основы конституционного строя);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б) о различии, например: граждане старше 60 лет в </w:t>
      </w:r>
      <w:proofErr w:type="spellStart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меньшеи</w:t>
      </w:r>
      <w:proofErr w:type="spellEnd"/>
      <w:r w:rsidRPr="00733F89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̆ мере, чем граждане других возрастных групп, считают, что человеку нужно знание гражданского права (так как гражданское право регулирует имущественные отношения, вопросы собственности, заключения договоров и т.п.; эти вопросы волнуют пенсионеров несколько меньше, чем граждан более молодого возраста).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Могут быть сформулированы другие выводы о сходстве и различии, высказаны иные уместные предположения </w:t>
      </w:r>
    </w:p>
    <w:p w:rsidR="003B782D" w:rsidRPr="00733F89" w:rsidRDefault="003B782D" w:rsidP="003B78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19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сравнивать социальные объекты, явления, процессы, их элементы и </w:t>
      </w:r>
    </w:p>
    <w:p w:rsidR="003B782D" w:rsidRPr="00733F89" w:rsidRDefault="003B782D" w:rsidP="003B782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функции, выявлять их общие черты и различия. </w:t>
      </w:r>
    </w:p>
    <w:p w:rsidR="003B782D" w:rsidRPr="00733F89" w:rsidRDefault="003B782D" w:rsidP="00366C13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21–24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объединены в составное задание с фрагментом адаптированного научно-популярного текста и направлены на проверку следующих умений: осуществлять поиск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информации по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теме в различных её источниках (материалах СМИ, учебном тексте, других адаптированных источниках, статистических материалах, носителях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аудиовизуальнои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̆ информации и т.п.) (задания 21–23); составлять на их основе план (задание 21);</w:t>
      </w:r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примеры (в том числе моделировать ситуации) социальных объектов, явлений, процессов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определённого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их структурных элементов и проявлений основных функций разных типов социальных отношений и ситуаций, регулируемых различными видами социальных норм деятельности </w:t>
      </w:r>
      <w:proofErr w:type="spellStart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людеи</w:t>
      </w:r>
      <w:proofErr w:type="spellEnd"/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в разных сферах (задание 23); анализировать, обобщать, систематизировать и конкретизировать социальную информацию из адаптированных источников, умения соотносить её с собственными знаниями (задание 24) </w:t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2346B4" w:rsidRPr="00733F89" w:rsidRDefault="00642A28" w:rsidP="002346B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proofErr w:type="gramStart"/>
      <w:r w:rsidRPr="00733F8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Р</w:t>
      </w:r>
      <w:proofErr w:type="gramEnd"/>
      <w:r w:rsidR="002346B4" w:rsidRPr="00733F89">
        <w:rPr>
          <w:rFonts w:ascii="Times New Roman" w:hAnsi="Times New Roman" w:cs="Times New Roman"/>
          <w:sz w:val="28"/>
          <w:szCs w:val="28"/>
        </w:rPr>
        <w:t xml:space="preserve"> </w:t>
      </w:r>
      <w:r w:rsidR="002346B4" w:rsidRPr="00733F89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Распределение зад</w:t>
      </w:r>
    </w:p>
    <w:p w:rsidR="00096C91" w:rsidRPr="00733F89" w:rsidRDefault="00366C13" w:rsidP="00366C13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733F89">
        <w:rPr>
          <w:rFonts w:ascii="Times New Roman" w:hAnsi="Times New Roman" w:cs="Times New Roman"/>
          <w:b/>
          <w:sz w:val="28"/>
          <w:szCs w:val="28"/>
        </w:rPr>
        <w:t>Итак, и</w:t>
      </w:r>
      <w:r w:rsidR="002346B4" w:rsidRPr="00733F89">
        <w:rPr>
          <w:rFonts w:ascii="Times New Roman" w:hAnsi="Times New Roman" w:cs="Times New Roman"/>
          <w:b/>
          <w:sz w:val="28"/>
          <w:szCs w:val="28"/>
        </w:rPr>
        <w:t xml:space="preserve">зменения </w:t>
      </w:r>
      <w:proofErr w:type="gramStart"/>
      <w:r w:rsidR="002346B4" w:rsidRPr="00733F8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2346B4" w:rsidRPr="00733F89">
        <w:rPr>
          <w:rFonts w:ascii="Times New Roman" w:hAnsi="Times New Roman" w:cs="Times New Roman"/>
          <w:b/>
          <w:sz w:val="28"/>
          <w:szCs w:val="28"/>
        </w:rPr>
        <w:t xml:space="preserve"> КИМ 2020 года по </w:t>
      </w:r>
      <w:r w:rsidR="00F33705" w:rsidRPr="00733F89">
        <w:rPr>
          <w:rFonts w:ascii="Times New Roman" w:hAnsi="Times New Roman" w:cs="Times New Roman"/>
          <w:b/>
          <w:sz w:val="28"/>
          <w:szCs w:val="28"/>
        </w:rPr>
        <w:t>сравнению с 2019 годом</w:t>
      </w:r>
      <w:r w:rsidRPr="00733F89">
        <w:rPr>
          <w:rFonts w:ascii="Times New Roman" w:hAnsi="Times New Roman" w:cs="Times New Roman"/>
          <w:b/>
          <w:sz w:val="28"/>
          <w:szCs w:val="28"/>
        </w:rPr>
        <w:t>:</w:t>
      </w:r>
    </w:p>
    <w:p w:rsidR="00366C13" w:rsidRPr="00733F89" w:rsidRDefault="00366C13" w:rsidP="00366C13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1. Экзаменационная работа 2020 г. имеет иную, чем экзаменационная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работа 2019 г., логику построения, основанную на </w:t>
      </w:r>
      <w:proofErr w:type="spellStart"/>
      <w:r w:rsidRPr="00733F89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733F89">
        <w:rPr>
          <w:rFonts w:ascii="Times New Roman" w:hAnsi="Times New Roman" w:cs="Times New Roman"/>
          <w:sz w:val="28"/>
          <w:szCs w:val="28"/>
        </w:rPr>
        <w:t xml:space="preserve"> подходе.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Объектом проверки в рамках государственной итоговой аттестации становится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proofErr w:type="spellStart"/>
      <w:r w:rsidRPr="00733F8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33F89">
        <w:rPr>
          <w:rFonts w:ascii="Times New Roman" w:hAnsi="Times New Roman" w:cs="Times New Roman"/>
          <w:sz w:val="28"/>
          <w:szCs w:val="28"/>
        </w:rPr>
        <w:t xml:space="preserve"> разнообразных умений.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3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733F89">
        <w:rPr>
          <w:rFonts w:ascii="Times New Roman" w:hAnsi="Times New Roman" w:cs="Times New Roman"/>
          <w:sz w:val="28"/>
          <w:szCs w:val="28"/>
        </w:rPr>
        <w:t xml:space="preserve"> 2019 г. такой принцип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реализовывался только в заданиях части 2, в то время как задания части 1</w:t>
      </w:r>
    </w:p>
    <w:p w:rsidR="00096C91" w:rsidRPr="00733F89" w:rsidRDefault="00F33705" w:rsidP="00AB33AE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проверяли содержание основных разделов курса.</w:t>
      </w:r>
    </w:p>
    <w:p w:rsidR="00AB33AE" w:rsidRPr="00733F89" w:rsidRDefault="00AB33AE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2. Построение КИМ ОГЭ 2020 г. в </w:t>
      </w:r>
      <w:proofErr w:type="spellStart"/>
      <w:r w:rsidRPr="00733F89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Pr="00733F89">
        <w:rPr>
          <w:rFonts w:ascii="Times New Roman" w:hAnsi="Times New Roman" w:cs="Times New Roman"/>
          <w:sz w:val="28"/>
          <w:szCs w:val="28"/>
        </w:rPr>
        <w:t xml:space="preserve"> парадигме обусловило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отказ от традиционного разделения экзаменационной работы на две части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96C91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зависимости от типа заданий.</w:t>
      </w:r>
      <w:r w:rsidR="00096C91" w:rsidRPr="00733F89">
        <w:rPr>
          <w:rFonts w:ascii="Times New Roman" w:hAnsi="Times New Roman" w:cs="Times New Roman"/>
          <w:sz w:val="28"/>
          <w:szCs w:val="28"/>
        </w:rPr>
        <w:t xml:space="preserve"> Задания в работе выстраиваются, исходя</w:t>
      </w:r>
    </w:p>
    <w:p w:rsidR="00096C91" w:rsidRPr="00733F89" w:rsidRDefault="00096C91" w:rsidP="00AB33AE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из проверяемых групп умений.</w:t>
      </w:r>
    </w:p>
    <w:p w:rsidR="00AB33AE" w:rsidRPr="00733F89" w:rsidRDefault="00AB33AE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3. Количество заданий репродуктивного характера с выбором одного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ответа из четырёх сокращено с 20 до 14.</w:t>
      </w:r>
    </w:p>
    <w:p w:rsidR="00096C91" w:rsidRPr="00733F89" w:rsidRDefault="00096C91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Добавлены задания с кратким ответом двух типов (задание на выбор и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запись нескольких ответов и задание на выявление структурных элементов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понятия с помощью таблицы). Задание на различение фактов и мнений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социальной информации в том виде, как оно существовало в КИМ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предыдущих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лет, исключено из работы.</w:t>
      </w:r>
    </w:p>
    <w:p w:rsidR="00096C91" w:rsidRPr="00733F89" w:rsidRDefault="00096C91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5. Добавлены задания с развёрнутым ответом трёх типов: задание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развёрнутым ответом, проверяющее умение раскрывать смысл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ключевых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понятий базовых для школьного обществознания социально-гуманитарных наук,</w:t>
      </w:r>
    </w:p>
    <w:p w:rsidR="00096C91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сущность общества как формы совместной деятельности людей, задание-задача</w:t>
      </w:r>
      <w:r w:rsidR="00096C91" w:rsidRPr="00733F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6C91" w:rsidRPr="00733F8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33705" w:rsidRPr="00733F89" w:rsidRDefault="00096C91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контекстом финансовой грамотности </w:t>
      </w:r>
      <w:r w:rsidR="00F33705" w:rsidRPr="00733F89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proofErr w:type="gramStart"/>
      <w:r w:rsidRPr="00733F89">
        <w:rPr>
          <w:rFonts w:ascii="Times New Roman" w:hAnsi="Times New Roman" w:cs="Times New Roman"/>
          <w:sz w:val="28"/>
          <w:szCs w:val="28"/>
        </w:rPr>
        <w:t>задание на анализ статистической информации (преобразовано из мини-теста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proofErr w:type="gramStart"/>
      <w:r w:rsidRPr="00733F89">
        <w:rPr>
          <w:rFonts w:ascii="Times New Roman" w:hAnsi="Times New Roman" w:cs="Times New Roman"/>
          <w:sz w:val="28"/>
          <w:szCs w:val="28"/>
        </w:rPr>
        <w:t>КИМ 2019 г. включавшего в себя два задания с кратким ответом).</w:t>
      </w:r>
      <w:proofErr w:type="gramEnd"/>
      <w:r w:rsidRPr="00733F89">
        <w:rPr>
          <w:rFonts w:ascii="Times New Roman" w:hAnsi="Times New Roman" w:cs="Times New Roman"/>
          <w:sz w:val="28"/>
          <w:szCs w:val="28"/>
        </w:rPr>
        <w:t xml:space="preserve"> Сокращено с 6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 xml:space="preserve">до 4 количество заданий мини-теста по тексту. В результате </w:t>
      </w:r>
      <w:proofErr w:type="gramStart"/>
      <w:r w:rsidRPr="00733F89">
        <w:rPr>
          <w:rFonts w:ascii="Times New Roman" w:hAnsi="Times New Roman" w:cs="Times New Roman"/>
          <w:sz w:val="28"/>
          <w:szCs w:val="28"/>
        </w:rPr>
        <w:t>усилена</w:t>
      </w:r>
      <w:proofErr w:type="gramEnd"/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аналитическая составляющая, при этом большинство заданий требует умений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рассуждать, объяснять, аргументировать, выражать своё мнение с опорой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на факты социальной жизни, личный социальный опыт и обществоведческие</w:t>
      </w: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знания.</w:t>
      </w:r>
    </w:p>
    <w:p w:rsidR="00096C91" w:rsidRPr="00733F89" w:rsidRDefault="00096C91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hAnsi="Times New Roman" w:cs="Times New Roman"/>
          <w:sz w:val="28"/>
          <w:szCs w:val="28"/>
        </w:rPr>
        <w:t>6. Общее количество заданий КИМ сократилось с 31 до 24. Общий балл</w:t>
      </w:r>
    </w:p>
    <w:p w:rsidR="00096C91" w:rsidRPr="00733F89" w:rsidRDefault="00F33705" w:rsidP="006D4BB0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hAnsi="Times New Roman" w:cs="Times New Roman"/>
          <w:sz w:val="28"/>
          <w:szCs w:val="28"/>
        </w:rPr>
        <w:t>уменьшается с 39 до 35</w:t>
      </w:r>
      <w:r w:rsidRPr="0073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F33705" w:rsidRPr="00733F89" w:rsidRDefault="00096C91" w:rsidP="006D4BB0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F33705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Максимальное количество баллов, которое может получить </w:t>
      </w:r>
      <w:proofErr w:type="gramStart"/>
      <w:r w:rsidR="00F33705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экзаменуемый</w:t>
      </w:r>
      <w:proofErr w:type="gramEnd"/>
      <w:r w:rsidR="00F33705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выполнение</w:t>
      </w:r>
      <w:r w:rsidR="00642A28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3705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всей экзаменационной работы, – 35 баллов.</w:t>
      </w:r>
      <w:r w:rsidR="00F33705" w:rsidRPr="00733F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</w:p>
    <w:p w:rsidR="006D4BB0" w:rsidRPr="00733F89" w:rsidRDefault="006D4BB0" w:rsidP="006D4B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Шкала пересчета суммарного первичного балла за выполнение</w:t>
      </w:r>
      <w:r w:rsidRPr="00733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экзаменационной работы в отметку по пятибалльной шкале</w:t>
      </w:r>
    </w:p>
    <w:p w:rsidR="006D4BB0" w:rsidRPr="00733F89" w:rsidRDefault="006D4BB0" w:rsidP="006D4B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13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326"/>
        <w:gridCol w:w="1162"/>
        <w:gridCol w:w="1056"/>
        <w:gridCol w:w="1280"/>
        <w:gridCol w:w="1889"/>
      </w:tblGrid>
      <w:tr w:rsidR="006D4BB0" w:rsidRPr="00733F89" w:rsidTr="00733F89">
        <w:trPr>
          <w:trHeight w:val="671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Отметка по</w:t>
            </w: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пятибалльной шкале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«2»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«3»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«4»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  <w:tr w:rsidR="006D4BB0" w:rsidRPr="00733F89" w:rsidTr="00733F89">
        <w:trPr>
          <w:trHeight w:val="1038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Суммарный первичный балл за</w:t>
            </w:r>
            <w:r w:rsidRPr="00733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работу в целом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– 13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14 – 22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– 29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BB0" w:rsidRPr="00733F89" w:rsidRDefault="006D4BB0" w:rsidP="006D4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– 35</w:t>
            </w:r>
          </w:p>
        </w:tc>
      </w:tr>
    </w:tbl>
    <w:p w:rsidR="00F33705" w:rsidRPr="00733F89" w:rsidRDefault="00F33705" w:rsidP="006D4BB0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экзамена могут быть использованы при приеме </w:t>
      </w:r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профильные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классы средней школы. Ориентиром при отборе в профильные классы может быть показатель,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нижняя граница которого соответствует 28 баллам.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направления в подготовке к ОГЭ по обществознанию</w:t>
      </w:r>
    </w:p>
    <w:p w:rsidR="00877591" w:rsidRPr="00733F89" w:rsidRDefault="00733F89" w:rsidP="00733F8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877591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Информационное. Все участники государственной итоговой аттестации должны иметь полное представление о нормативно-правовой базе, процедуре экзамена, структуре работы, критериях оценивания</w:t>
      </w:r>
    </w:p>
    <w:p w:rsidR="00877591" w:rsidRPr="00733F89" w:rsidRDefault="00733F89" w:rsidP="00733F8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77591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Методическое. Учитель находится в процессе постоянного самообразования, в поиске и отборе эффективных приемов и методов преподавания. Он должен изучать и использовать в своей деятельности аналитические материалы и методические рекомендации Федерального института педагогических измерений.</w:t>
      </w:r>
    </w:p>
    <w:p w:rsidR="00877591" w:rsidRPr="00733F89" w:rsidRDefault="00733F89" w:rsidP="00733F8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77591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Психологическое. Успех в сдаче ОГЭ во многом зависит от психологического состояния обучающегося, умений мобилизовать свои силы в стрессовой ситуации. Необходимо отработать с помощью психологических тренингов умения владеть собой, сохранять выдержку, четко распределять время</w:t>
      </w:r>
    </w:p>
    <w:p w:rsidR="00877591" w:rsidRPr="00733F89" w:rsidRDefault="00733F89" w:rsidP="00733F8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77591" w:rsidRPr="00733F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Диагностическое. В процессе подготовки учащихся к ОГЭ необходимо анализировать уровень теоретической подготовки, умений применять полученные знания при работе с разными видами информации, работать с диаграммами, статистическим материалом. Определять на основе анализа зону ближайшего развития ученика, составлять карты индивидуальных маршрутов, фиксировать пробелы и успехи учеников.</w:t>
      </w:r>
    </w:p>
    <w:p w:rsidR="00D04EE0" w:rsidRPr="00733F89" w:rsidRDefault="00D04EE0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4EE0" w:rsidRPr="00733F89" w:rsidRDefault="00D04EE0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Проблемы в преподавании и подготовке учащихся к ОГЭ по обществознанию</w:t>
      </w:r>
    </w:p>
    <w:p w:rsidR="00D04EE0" w:rsidRPr="00733F89" w:rsidRDefault="00D04EE0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4EE0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1)Обществознание является комплексной дисциплиной, требующей обширной подготовки по праву, экономике, политологии, социологии, философии, социальной психологии. </w:t>
      </w:r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Затруднения в подготовке к экзамену связаны со сложностью теоретического содержания некоторых тем, многообразием научных подходов к их изложению, недостаточно полным отражением контролируемых элементов содержания в отдельных учебниках по обществознанию, дефицитом времени на их изучение, дроблением материала.</w:t>
      </w:r>
      <w:proofErr w:type="gramEnd"/>
    </w:p>
    <w:p w:rsidR="00D04EE0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традиционно этот предмет лидирует в выборе учащихся. Его выбирают дети с разным уровнем подготовки, с разной мотивацией, что создает проблемы дифференциации групп по подготовке к экзамену.</w:t>
      </w:r>
    </w:p>
    <w:p w:rsidR="00D04EE0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 преподавание предмета «обществозна</w:t>
      </w:r>
      <w:r w:rsidR="00AB33AE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ние» в учебном плане отведено 35 часов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не позволяет выделить дополнительные часы на практикумы и уроки </w:t>
      </w:r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–к</w:t>
      </w:r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оррекции, уроки обобщения.</w:t>
      </w: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существенной проблемой является клиповый тип мышления современных школьников.</w:t>
      </w: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школьники живут в эпоху клиповой культуры. Все они в той или иной степени зависят от прогресса цивилизации.</w:t>
      </w: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же изменился психологический портрет современного школьника, если он совершает несколько действий одновременно и даже не видит, в чем может быть проблема. Выполнять уроки и параллельно сидеть в социальной сети, просматривать ролики, слушать радио, кликать по фотографиям и одновременно решать математические задачи или размышлять над затронутыми проблемами в романе – кому под силу такая смена информации, как н</w:t>
      </w:r>
      <w:r w:rsidR="00D04EE0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современному школьнику? </w:t>
      </w:r>
    </w:p>
    <w:p w:rsidR="00877591" w:rsidRPr="00733F89" w:rsidRDefault="00877591" w:rsidP="00D0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Психологический портрет современного школьника (в сравнении)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2"/>
        <w:gridCol w:w="3347"/>
        <w:gridCol w:w="3476"/>
      </w:tblGrid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для сравнения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школьники информационного общества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Школьники индустриального общества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1.Внимание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Могут фиксировать внимание 10-15 минут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10 лет назад ребенок мог удерживать внимание 45 минут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2.Устойчивость внимания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снизилась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лучше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3.Переключение внимания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быстрее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медленнее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4.Память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Лучше развита кратковременная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Развита долговременная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5.Структура запоминания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Запоминают место, где находится какая-либо информация.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Запоминали содержание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6.Восприятие информации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видят картинку в целом и воспринимают информацию по принципу клипа, детали не важны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в целом и запоминание деталей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7.Коммуникация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Преобладает виртуальная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Реальная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8.Доступ к информации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перегруженность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Информационный голод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9.Самостоятельность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Несамостоятельность, избалованность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Высокая доля самостоятельности и ответс</w:t>
            </w:r>
            <w:r w:rsidR="00671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венность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Главные ценности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Погоня за успехом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 материальных ценностей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самореализация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Приоритет духовных ценностей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11. Отношение к 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учебе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прагматизм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учеба как </w:t>
            </w: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возможнсть</w:t>
            </w:r>
            <w:proofErr w:type="spell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самореализации и ступенька 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профессиональном самоопределении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12.Свободное время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Дефицит времени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для самореализации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13.Состояние здоровья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двигательной активности, ухудшение состояния здоровья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Активный образ жизни, много времени тратили на спортивные занятия, игры на свежем воздухе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14.Отношение к взрослым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Прагматизм, недоверие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Деньги как главный критерий преуспевания, «личного успеха», стали фактором первичной оценки человека.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тесная связь с родителями, учителями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личных качеств и профессионализма как главных критериев преуспевания в жизни</w:t>
            </w:r>
          </w:p>
        </w:tc>
      </w:tr>
      <w:tr w:rsidR="00877591" w:rsidRPr="00733F89" w:rsidTr="00D04EE0">
        <w:tc>
          <w:tcPr>
            <w:tcW w:w="239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15.Уровень грамотности</w:t>
            </w:r>
          </w:p>
        </w:tc>
        <w:tc>
          <w:tcPr>
            <w:tcW w:w="3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Информационной </w:t>
            </w:r>
            <w:proofErr w:type="gram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–в</w:t>
            </w:r>
            <w:proofErr w:type="gram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ысокий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грамотности и ухудшение навыков ручного письма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Более высокий уровень словесной грамотности</w:t>
            </w:r>
          </w:p>
        </w:tc>
      </w:tr>
    </w:tbl>
    <w:p w:rsidR="00877591" w:rsidRPr="00733F89" w:rsidRDefault="00671EE0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эпоху Интернета у школьников возникает «клиповое мышление», требующее динамичной и дозированной подачи материала в форме гипертекста</w:t>
      </w:r>
      <w:r w:rsidR="00D04EE0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клиповом мышлении окружающий мир превращается в мозаику разрозненных, мало связанных между собой фактов. </w:t>
      </w:r>
      <w:proofErr w:type="gramStart"/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Клиповое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мышление характеризуется рядом </w:t>
      </w:r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особенностей: любой текст должен быть насыщен «большим количеством коротких фраз, отражающих эмоциональное состояние человека; текст сильно фрагментирован, разбит на перемежающиеся смысловые блоки небольшого (два-три абзаца) объема; фрагменты текста слабо связаны между собой, образуют своего рода мозаичное изображение с частично утраченными элементами; текст построен по п</w:t>
      </w:r>
      <w:r w:rsidR="00D04EE0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ринципу «описание действия».</w:t>
      </w:r>
      <w:proofErr w:type="gramEnd"/>
    </w:p>
    <w:p w:rsidR="00877591" w:rsidRPr="00733F89" w:rsidRDefault="00877591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Возникает конфликт знания и информации. Учащиеся, привыкшие к клиповым режимам работы с информацией, практически не умеют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мыслительно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концентрироваться. У школьников проявляется снижение таких психологических свойств, как способность воображения, рефлексии, понимания, в том числе, понимания другого человека. У школьников с клиповым мышлением постепенно утрачивается и такое качество как живая коммуникация, живое общение. Общаясь по любому вопросу, они не способны отделить собственную позицию от принятой точки зрения.</w:t>
      </w:r>
    </w:p>
    <w:p w:rsidR="00877591" w:rsidRPr="00733F89" w:rsidRDefault="00877591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учетом происходящих изменений на смену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знаниевому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подходу пришел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системно-деятельностный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направленный на развитие умений 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добывать и применять знания. Учитель должен кардинально изменить систему преподавания и подготовки к ОГЭ, учитывая веления времени.</w:t>
      </w:r>
    </w:p>
    <w:p w:rsidR="00877591" w:rsidRPr="00733F89" w:rsidRDefault="00877591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эффективными технологиями считаю: технологию критического мышления, обучения в сотрудничества, технологию визуализации. Применение приемов: «ромашка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концептуальные таблицы, «ассоциативный ряд», «мозговой штурм», «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«пометки на полях», «кластер» способствуют развитию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необходимых для успешной подготовки к итоговой аттестации.</w:t>
      </w:r>
    </w:p>
    <w:p w:rsidR="00877591" w:rsidRPr="00733F89" w:rsidRDefault="00877591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перспективных методов технологии визуализации является метод создания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интеллект-карт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американского учёного и бизнесмена Тони </w:t>
      </w:r>
      <w:proofErr w:type="spell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Бьюзена</w:t>
      </w:r>
      <w:proofErr w:type="spell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Интеллект-карты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уникальный и простой метод запоминания информации. Метод интеллектуальных карт наиболее полно отвечает особенностям работы человеческого мозга. Отличительным свойством методики является привлечение в процесс усвоения информации обоих полушарий головного мозга, благодаря чему обеспечивается его наиболее эффективная работа и информация сохраняется как в виде целостного образа, так и в словесной форме (ключевые слова). С помощью используемых при построении карт зрительных образов обеспечивается создание глубокого впечатления, что существенно увеличивает запоминаемость материала и способность к воспроизведению.</w:t>
      </w:r>
    </w:p>
    <w:p w:rsidR="00877591" w:rsidRPr="00733F89" w:rsidRDefault="00877591" w:rsidP="00671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построении карт идеи становятся более четкими и понятными, хорошо усваиваются связи между идеями; метод позволяет взглянуть на изучаемый материал с более высокой точки зрения, охватить его «единым взором», воспринять его как единое целое. Богатые возможности, которые предоставляют карты памяти, позволяют использовать их для решения самых разнообразных задач. Постоянное использование</w:t>
      </w:r>
      <w:r w:rsidR="00D04EE0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методики позволит сделать мышление более организованным, четким и логичным. Данный метод позволяет использовать достоинства клипового мышления: усваивать в сжатом виде огромный объем информации, использовать слова-ассоциации, рисунки, картинки. Метод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интеллект-карт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минимизирует отрицательные последствия клипового мышления, развивает творческий подход, логическое мышление, позволяет задействовать левое и правое полушария. Данный метод помогает девятиклассникам усваивать материал фрагментами, соединёнными логическими цепочками.</w:t>
      </w:r>
      <w:r w:rsidR="00D04EE0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proofErr w:type="gramStart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интеллект-карт</w:t>
      </w:r>
      <w:proofErr w:type="spellEnd"/>
      <w:proofErr w:type="gramEnd"/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и во внеурочной деятельности позволяет сделать процесс изучения и подготовки к итоговой аттестации более ярким и запоминающимся.</w:t>
      </w:r>
    </w:p>
    <w:p w:rsidR="00877591" w:rsidRPr="00733F89" w:rsidRDefault="00877591" w:rsidP="00671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ОГЭ должна обязательно отличаться от традиционного повторения школьной программы по обществознанию и должна быть строго ориентирована на определённую форму экзамена и на специфическую систему проверки.</w:t>
      </w:r>
    </w:p>
    <w:p w:rsidR="00877591" w:rsidRPr="00733F89" w:rsidRDefault="00877591" w:rsidP="00671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каждого учителя формируется своя система подготовки учащихся к итоговой аттестации</w:t>
      </w:r>
    </w:p>
    <w:p w:rsidR="00877591" w:rsidRPr="00733F89" w:rsidRDefault="00877591" w:rsidP="00671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Однако необходимо постоянно корректировать свою систему с учетом особенностей учащихся, уровня их теоретической подготовки, уровня овладения</w:t>
      </w:r>
      <w:r w:rsidR="00E93C55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умениями.</w:t>
      </w:r>
    </w:p>
    <w:p w:rsidR="00877591" w:rsidRPr="00733F89" w:rsidRDefault="00877591" w:rsidP="00671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Система подготовки к ОГЭ по обществознанию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7"/>
        <w:gridCol w:w="1679"/>
        <w:gridCol w:w="4045"/>
        <w:gridCol w:w="1884"/>
      </w:tblGrid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учителя с учащимися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Самоподготовка учителя</w:t>
            </w: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 учащихся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D04EE0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877591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нормативно-правовой базы</w:t>
            </w: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домашних заданий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нормативно-правовой базы</w:t>
            </w:r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Консультативные занятия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Изучение методических рекомендаций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карт индивидуальных маршрутов для учащихся</w:t>
            </w: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заданий карт индивидуальных маршрутов учащимися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процедурой экзамена и структурой </w:t>
            </w: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КИМов</w:t>
            </w:r>
            <w:proofErr w:type="spellEnd"/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Зачеты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знания теоретического материала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компьютерные тесты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он-лайн</w:t>
            </w:r>
            <w:proofErr w:type="spell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тесты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папки «Подготовка к ОГЭ» (для ученика)</w:t>
            </w: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заданий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http://soc.reshuege.</w:t>
            </w:r>
            <w:r w:rsidR="00D04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ru/- сайт Дмитрия Гущина «Решу О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ГЭ».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результатами диагностических работ, анализом работы учащихся на уроках и консультационных занятиях</w:t>
            </w:r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Тренинги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работы со школьным сайтом</w:t>
            </w:r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ссылок для учащихся</w:t>
            </w: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он-лайн</w:t>
            </w:r>
            <w:proofErr w:type="spellEnd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тесты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родителей о выполнении заданий индивидуального маршрута</w:t>
            </w:r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Занятия коррекции 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пробелов в знаниях и умениях</w:t>
            </w:r>
          </w:p>
        </w:tc>
        <w:tc>
          <w:tcPr>
            <w:tcW w:w="49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Электронная переписка с 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учителем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77591" w:rsidRPr="00733F89" w:rsidRDefault="00877591" w:rsidP="00D04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591" w:rsidRPr="00733F89" w:rsidTr="00D04EE0">
        <w:tc>
          <w:tcPr>
            <w:tcW w:w="19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диагностических работ</w:t>
            </w:r>
          </w:p>
        </w:tc>
        <w:tc>
          <w:tcPr>
            <w:tcW w:w="20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</w:p>
        </w:tc>
        <w:tc>
          <w:tcPr>
            <w:tcW w:w="290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Использование презентаций, </w:t>
            </w:r>
            <w:proofErr w:type="spellStart"/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видеоуроков</w:t>
            </w:r>
            <w:proofErr w:type="spellEnd"/>
          </w:p>
          <w:p w:rsidR="00877591" w:rsidRPr="00733F89" w:rsidRDefault="00877591" w:rsidP="00D04EE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http://mirege.ru/187-prezentacii.html</w:t>
            </w:r>
            <w:r w:rsidR="00D04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презентации для подготовки к О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ГЭ по обществознанию. http://www.fipi.ru/view/sections/141/doc</w:t>
            </w:r>
            <w:r w:rsidR="00D04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s/-ФИП</w:t>
            </w:r>
            <w:proofErr w:type="gramStart"/>
            <w:r w:rsidR="00D04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 w:rsidR="00D04EE0"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Открытый банк заданий О</w:t>
            </w:r>
            <w:r w:rsidRPr="00733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ГЭ.</w:t>
            </w:r>
          </w:p>
        </w:tc>
        <w:tc>
          <w:tcPr>
            <w:tcW w:w="26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77591" w:rsidRPr="00733F89" w:rsidRDefault="00877591" w:rsidP="00D04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</w:p>
        </w:tc>
      </w:tr>
    </w:tbl>
    <w:p w:rsidR="00877591" w:rsidRPr="00733F89" w:rsidRDefault="00D04EE0" w:rsidP="00D04E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итоговой аттестации – это всегда ответственный процесс и результат его зависит от тесного взаимодействия учителя</w:t>
      </w:r>
      <w:r w:rsidR="00D525C4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877591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</w:t>
      </w:r>
      <w:r w:rsidR="00D525C4" w:rsidRPr="00733F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родителей!</w:t>
      </w:r>
    </w:p>
    <w:p w:rsidR="00877591" w:rsidRDefault="00A53C1D" w:rsidP="00A53C1D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Подготовил:</w:t>
      </w:r>
    </w:p>
    <w:p w:rsidR="00A53C1D" w:rsidRDefault="00A53C1D" w:rsidP="00A53C1D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A53C1D" w:rsidRDefault="00A53C1D" w:rsidP="00A53C1D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Ибрагимова Н.А.</w:t>
      </w:r>
    </w:p>
    <w:p w:rsidR="00A53C1D" w:rsidRPr="00733F89" w:rsidRDefault="00A53C1D" w:rsidP="00A53C1D">
      <w:pPr>
        <w:spacing w:after="0" w:line="240" w:lineRule="auto"/>
        <w:ind w:left="-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Январь, 2020г.</w:t>
      </w:r>
    </w:p>
    <w:sectPr w:rsidR="00A53C1D" w:rsidRPr="00733F89" w:rsidSect="00164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Con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i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isCyril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io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etersburgC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rme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-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iosCond-Bold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i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ios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536A1"/>
    <w:multiLevelType w:val="multilevel"/>
    <w:tmpl w:val="AB289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3705"/>
    <w:rsid w:val="00096C91"/>
    <w:rsid w:val="0016412F"/>
    <w:rsid w:val="002346B4"/>
    <w:rsid w:val="002A6042"/>
    <w:rsid w:val="00366C13"/>
    <w:rsid w:val="003B782D"/>
    <w:rsid w:val="00445581"/>
    <w:rsid w:val="00614383"/>
    <w:rsid w:val="00642A28"/>
    <w:rsid w:val="00671EE0"/>
    <w:rsid w:val="006D4BB0"/>
    <w:rsid w:val="00733F89"/>
    <w:rsid w:val="0080158A"/>
    <w:rsid w:val="00877591"/>
    <w:rsid w:val="00A53C1D"/>
    <w:rsid w:val="00AB33AE"/>
    <w:rsid w:val="00D04EE0"/>
    <w:rsid w:val="00D525C4"/>
    <w:rsid w:val="00E93C55"/>
    <w:rsid w:val="00F3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33705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F3370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3370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096C91"/>
    <w:rPr>
      <w:rFonts w:ascii="HeliosCond-Bold" w:hAnsi="HeliosCond-Bold" w:hint="default"/>
      <w:b/>
      <w:bCs/>
      <w:i w:val="0"/>
      <w:iCs w:val="0"/>
      <w:color w:val="215D68"/>
      <w:sz w:val="22"/>
      <w:szCs w:val="22"/>
    </w:rPr>
  </w:style>
  <w:style w:type="character" w:customStyle="1" w:styleId="fontstyle51">
    <w:name w:val="fontstyle51"/>
    <w:basedOn w:val="a0"/>
    <w:rsid w:val="00096C91"/>
    <w:rPr>
      <w:rFonts w:ascii="FuturisC" w:hAnsi="FuturisC" w:hint="default"/>
      <w:b w:val="0"/>
      <w:bCs w:val="0"/>
      <w:i w:val="0"/>
      <w:iCs w:val="0"/>
      <w:color w:val="231F20"/>
      <w:sz w:val="12"/>
      <w:szCs w:val="12"/>
    </w:rPr>
  </w:style>
  <w:style w:type="character" w:customStyle="1" w:styleId="fontstyle61">
    <w:name w:val="fontstyle61"/>
    <w:basedOn w:val="a0"/>
    <w:rsid w:val="00096C91"/>
    <w:rPr>
      <w:rFonts w:ascii="FuturisCyrillic" w:hAnsi="FuturisCyrillic" w:hint="default"/>
      <w:b w:val="0"/>
      <w:bCs w:val="0"/>
      <w:i w:val="0"/>
      <w:iCs w:val="0"/>
      <w:color w:val="6DA3A7"/>
      <w:sz w:val="12"/>
      <w:szCs w:val="12"/>
    </w:rPr>
  </w:style>
  <w:style w:type="character" w:customStyle="1" w:styleId="fontstyle71">
    <w:name w:val="fontstyle71"/>
    <w:basedOn w:val="a0"/>
    <w:rsid w:val="00096C91"/>
    <w:rPr>
      <w:rFonts w:ascii="Helios-Bold" w:hAnsi="Helios-Bold" w:hint="default"/>
      <w:b/>
      <w:bCs/>
      <w:i w:val="0"/>
      <w:iCs w:val="0"/>
      <w:color w:val="215D68"/>
      <w:sz w:val="24"/>
      <w:szCs w:val="24"/>
    </w:rPr>
  </w:style>
  <w:style w:type="character" w:customStyle="1" w:styleId="fontstyle81">
    <w:name w:val="fontstyle81"/>
    <w:basedOn w:val="a0"/>
    <w:rsid w:val="00096C91"/>
    <w:rPr>
      <w:rFonts w:ascii="NewtonC-Bold" w:hAnsi="NewtonC-Bold" w:hint="default"/>
      <w:b/>
      <w:bCs/>
      <w:i w:val="0"/>
      <w:iCs w:val="0"/>
      <w:color w:val="231F20"/>
      <w:sz w:val="12"/>
      <w:szCs w:val="12"/>
    </w:rPr>
  </w:style>
  <w:style w:type="character" w:customStyle="1" w:styleId="fontstyle91">
    <w:name w:val="fontstyle91"/>
    <w:basedOn w:val="a0"/>
    <w:rsid w:val="00096C91"/>
    <w:rPr>
      <w:rFonts w:ascii="PetersburgC-Italic" w:hAnsi="PetersburgC-Italic" w:hint="default"/>
      <w:b w:val="0"/>
      <w:bCs w:val="0"/>
      <w:i/>
      <w:iCs/>
      <w:color w:val="231F20"/>
      <w:sz w:val="20"/>
      <w:szCs w:val="20"/>
    </w:rPr>
  </w:style>
  <w:style w:type="character" w:customStyle="1" w:styleId="fontstyle101">
    <w:name w:val="fontstyle101"/>
    <w:basedOn w:val="a0"/>
    <w:rsid w:val="00096C91"/>
    <w:rPr>
      <w:rFonts w:ascii="HermesC" w:hAnsi="HermesC" w:hint="default"/>
      <w:b w:val="0"/>
      <w:bCs w:val="0"/>
      <w:i w:val="0"/>
      <w:iCs w:val="0"/>
      <w:color w:val="215D68"/>
      <w:sz w:val="20"/>
      <w:szCs w:val="20"/>
    </w:rPr>
  </w:style>
  <w:style w:type="character" w:customStyle="1" w:styleId="fontstyle111">
    <w:name w:val="fontstyle111"/>
    <w:basedOn w:val="a0"/>
    <w:rsid w:val="00642A28"/>
    <w:rPr>
      <w:rFonts w:ascii="NewtonC-Bold" w:hAnsi="NewtonC-Bold" w:hint="default"/>
      <w:b/>
      <w:bCs/>
      <w:i w:val="0"/>
      <w:iCs w:val="0"/>
      <w:color w:val="231F20"/>
      <w:sz w:val="18"/>
      <w:szCs w:val="18"/>
    </w:rPr>
  </w:style>
  <w:style w:type="character" w:customStyle="1" w:styleId="fontstyle121">
    <w:name w:val="fontstyle121"/>
    <w:basedOn w:val="a0"/>
    <w:rsid w:val="00642A28"/>
    <w:rPr>
      <w:rFonts w:ascii="NewtonC-BoldItalic" w:hAnsi="NewtonC-BoldItalic" w:hint="default"/>
      <w:b/>
      <w:bCs/>
      <w:i/>
      <w:iCs/>
      <w:color w:val="231F20"/>
      <w:sz w:val="20"/>
      <w:szCs w:val="20"/>
    </w:rPr>
  </w:style>
  <w:style w:type="character" w:customStyle="1" w:styleId="fontstyle131">
    <w:name w:val="fontstyle131"/>
    <w:basedOn w:val="a0"/>
    <w:rsid w:val="00642A28"/>
    <w:rPr>
      <w:rFonts w:ascii="HeliosCond-Bold-Italic" w:hAnsi="HeliosCond-Bold-Italic" w:hint="default"/>
      <w:b/>
      <w:bCs/>
      <w:i/>
      <w:iCs/>
      <w:color w:val="215D68"/>
      <w:sz w:val="22"/>
      <w:szCs w:val="22"/>
    </w:rPr>
  </w:style>
  <w:style w:type="character" w:customStyle="1" w:styleId="fontstyle141">
    <w:name w:val="fontstyle141"/>
    <w:basedOn w:val="a0"/>
    <w:rsid w:val="00642A28"/>
    <w:rPr>
      <w:rFonts w:ascii="Helios" w:hAnsi="Helios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151">
    <w:name w:val="fontstyle151"/>
    <w:basedOn w:val="a0"/>
    <w:rsid w:val="00642A28"/>
    <w:rPr>
      <w:rFonts w:ascii="Helios-Italic" w:hAnsi="Helios-Italic" w:hint="default"/>
      <w:b w:val="0"/>
      <w:bCs w:val="0"/>
      <w:i/>
      <w:iCs/>
      <w:color w:val="231F20"/>
      <w:sz w:val="20"/>
      <w:szCs w:val="20"/>
    </w:rPr>
  </w:style>
  <w:style w:type="character" w:customStyle="1" w:styleId="fontstyle161">
    <w:name w:val="fontstyle161"/>
    <w:basedOn w:val="a0"/>
    <w:rsid w:val="00642A28"/>
    <w:rPr>
      <w:rFonts w:ascii="TimesNewRomanPS-ItalicMT" w:hAnsi="TimesNewRomanPS-ItalicMT" w:hint="default"/>
      <w:b w:val="0"/>
      <w:bCs w:val="0"/>
      <w:i/>
      <w:iCs/>
      <w:color w:val="231F20"/>
      <w:sz w:val="16"/>
      <w:szCs w:val="16"/>
    </w:rPr>
  </w:style>
  <w:style w:type="paragraph" w:styleId="a3">
    <w:name w:val="Normal (Web)"/>
    <w:basedOn w:val="a"/>
    <w:uiPriority w:val="99"/>
    <w:unhideWhenUsed/>
    <w:rsid w:val="00234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7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82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3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AAAD-7487-42C8-970C-0DE787E5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Ибрагимова</cp:lastModifiedBy>
  <cp:revision>4</cp:revision>
  <cp:lastPrinted>2019-10-31T10:36:00Z</cp:lastPrinted>
  <dcterms:created xsi:type="dcterms:W3CDTF">2021-03-08T14:36:00Z</dcterms:created>
  <dcterms:modified xsi:type="dcterms:W3CDTF">2021-03-08T15:04:00Z</dcterms:modified>
</cp:coreProperties>
</file>