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7689B" w14:textId="77777777" w:rsidR="00D072E0" w:rsidRDefault="00D072E0" w:rsidP="00D072E0">
      <w:pPr>
        <w:pStyle w:val="ad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МИНИСТЕРСТВО НАУКИ И ВЫСШЕГО ОБРАЗОВАНИЯ РОССИЙСКОЙ ФЕДЕРАЦИИ</w:t>
      </w:r>
    </w:p>
    <w:p w14:paraId="2AC4B470" w14:textId="77777777" w:rsidR="00D072E0" w:rsidRDefault="00D072E0" w:rsidP="00D072E0">
      <w:pPr>
        <w:pStyle w:val="ad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федеральное государственное бюджетное образовательное учреждение высшего образования </w:t>
      </w:r>
    </w:p>
    <w:p w14:paraId="574AF405" w14:textId="77777777" w:rsidR="00D072E0" w:rsidRDefault="00D072E0" w:rsidP="00D072E0">
      <w:pPr>
        <w:pStyle w:val="ad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«Югорский государственный университет» (ЮГУ)</w:t>
      </w:r>
    </w:p>
    <w:p w14:paraId="71803AA8" w14:textId="77777777" w:rsidR="00D072E0" w:rsidRDefault="00D072E0" w:rsidP="00D072E0">
      <w:pPr>
        <w:pStyle w:val="ad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НЕФТЯНОЙ ИНСТИТУТ</w:t>
      </w:r>
    </w:p>
    <w:p w14:paraId="5F572CE0" w14:textId="77777777" w:rsidR="00D072E0" w:rsidRDefault="00D072E0" w:rsidP="00D072E0">
      <w:pPr>
        <w:pStyle w:val="ad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(ФИЛИАЛ) ФЕДЕРАЛЬНОГО ГОСУДАРСТВЕННОГО БЮДЖЕТНОГО ОБРАЗОВАТЕЛЬНОГО УЧРЕЖДЕНИЯ ВЫСШЕГО ОБРАЗОВАНИЯ «ЮГОРСКИЙ ГОСУДАРСТВЕННЫЙ УНИВЕРСИТЕТ»</w:t>
      </w:r>
    </w:p>
    <w:p w14:paraId="2E61724E" w14:textId="77777777" w:rsidR="00D072E0" w:rsidRDefault="00D072E0" w:rsidP="00D072E0">
      <w:pPr>
        <w:pStyle w:val="ad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(</w:t>
      </w:r>
      <w:proofErr w:type="spellStart"/>
      <w:r>
        <w:rPr>
          <w:rFonts w:ascii="Times New Roman" w:hAnsi="Times New Roman"/>
          <w:b/>
          <w:sz w:val="18"/>
          <w:szCs w:val="18"/>
        </w:rPr>
        <w:t>НефтИн</w:t>
      </w:r>
      <w:proofErr w:type="spellEnd"/>
      <w:r>
        <w:rPr>
          <w:rFonts w:ascii="Times New Roman" w:hAnsi="Times New Roman"/>
          <w:b/>
          <w:sz w:val="18"/>
          <w:szCs w:val="18"/>
        </w:rPr>
        <w:t xml:space="preserve"> (филиал) ФГБОУ ВО «ЮГУ»)</w:t>
      </w:r>
    </w:p>
    <w:p w14:paraId="6B6AE782" w14:textId="19104DBA" w:rsidR="00D072E0" w:rsidRDefault="00D072E0" w:rsidP="00D072E0">
      <w:pPr>
        <w:widowControl w:val="0"/>
        <w:rPr>
          <w:rFonts w:ascii="Times New Roman" w:eastAsia="Calibri" w:hAnsi="Times New Roman"/>
          <w:b/>
          <w:sz w:val="20"/>
          <w:szCs w:val="20"/>
        </w:rPr>
      </w:pPr>
      <w:r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D49C92" wp14:editId="18C357E9">
                <wp:simplePos x="0" y="0"/>
                <wp:positionH relativeFrom="column">
                  <wp:posOffset>-54610</wp:posOffset>
                </wp:positionH>
                <wp:positionV relativeFrom="paragraph">
                  <wp:posOffset>138430</wp:posOffset>
                </wp:positionV>
                <wp:extent cx="5942965" cy="2540"/>
                <wp:effectExtent l="0" t="19050" r="19685" b="355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254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E8339B0"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pt,10.9pt" to="463.6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" strokeweight="3pt">
                <v:stroke linestyle="thinThin"/>
              </v:line>
            </w:pict>
          </mc:Fallback>
        </mc:AlternateContent>
      </w:r>
    </w:p>
    <w:p w14:paraId="7F4069DF" w14:textId="77777777" w:rsidR="00D072E0" w:rsidRDefault="00D072E0" w:rsidP="00D072E0">
      <w:pPr>
        <w:widowControl w:val="0"/>
        <w:rPr>
          <w:rFonts w:ascii="Times New Roman" w:eastAsia="Calibri" w:hAnsi="Times New Roman"/>
          <w:b/>
          <w:sz w:val="20"/>
          <w:szCs w:val="20"/>
        </w:rPr>
      </w:pPr>
    </w:p>
    <w:p w14:paraId="652A95C2" w14:textId="77777777" w:rsidR="00D072E0" w:rsidRDefault="00D072E0" w:rsidP="00D072E0">
      <w:pPr>
        <w:widowControl w:val="0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9606" w:type="dxa"/>
        <w:jc w:val="center"/>
        <w:tblLook w:val="01E0" w:firstRow="1" w:lastRow="1" w:firstColumn="1" w:lastColumn="1" w:noHBand="0" w:noVBand="0"/>
      </w:tblPr>
      <w:tblGrid>
        <w:gridCol w:w="5070"/>
        <w:gridCol w:w="567"/>
        <w:gridCol w:w="3969"/>
      </w:tblGrid>
      <w:tr w:rsidR="00D072E0" w14:paraId="2C582D54" w14:textId="77777777" w:rsidTr="00D072E0">
        <w:trPr>
          <w:jc w:val="center"/>
        </w:trPr>
        <w:tc>
          <w:tcPr>
            <w:tcW w:w="5070" w:type="dxa"/>
            <w:hideMark/>
          </w:tcPr>
          <w:p w14:paraId="2DC01629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</w:rPr>
              <w:br w:type="page"/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3D1EDED6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969" w:type="dxa"/>
          </w:tcPr>
          <w:p w14:paraId="64579D91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РАССМОТРЕНО</w:t>
            </w:r>
          </w:p>
          <w:p w14:paraId="1044BE1D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На заседании </w:t>
            </w:r>
            <w:proofErr w:type="gramStart"/>
            <w:r>
              <w:rPr>
                <w:rFonts w:ascii="Times New Roman" w:eastAsia="Calibri" w:hAnsi="Times New Roman"/>
                <w:lang w:eastAsia="en-US"/>
              </w:rPr>
              <w:t>ПЦК  «</w:t>
            </w:r>
            <w:proofErr w:type="gramEnd"/>
            <w:r>
              <w:rPr>
                <w:rFonts w:ascii="Times New Roman" w:eastAsia="Calibri" w:hAnsi="Times New Roman"/>
                <w:lang w:eastAsia="en-US"/>
              </w:rPr>
              <w:t xml:space="preserve">Эксплуатации </w:t>
            </w:r>
          </w:p>
          <w:p w14:paraId="383E0A5E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 бурения»</w:t>
            </w:r>
          </w:p>
          <w:p w14:paraId="3F209BF4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Протокол заседания </w:t>
            </w:r>
          </w:p>
          <w:p w14:paraId="610BB761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№ </w:t>
            </w:r>
            <w:r>
              <w:rPr>
                <w:rFonts w:ascii="Times New Roman" w:eastAsia="Calibri" w:hAnsi="Times New Roman"/>
                <w:i/>
                <w:u w:val="single"/>
                <w:lang w:eastAsia="en-US"/>
              </w:rPr>
              <w:t>10_</w:t>
            </w:r>
            <w:r>
              <w:rPr>
                <w:rFonts w:ascii="Times New Roman" w:eastAsia="Calibri" w:hAnsi="Times New Roman"/>
                <w:lang w:eastAsia="en-US"/>
              </w:rPr>
              <w:t xml:space="preserve"> от «_</w:t>
            </w:r>
            <w:r>
              <w:rPr>
                <w:rFonts w:ascii="Times New Roman" w:eastAsia="Calibri" w:hAnsi="Times New Roman"/>
                <w:i/>
                <w:u w:val="single"/>
                <w:lang w:eastAsia="en-US"/>
              </w:rPr>
              <w:t>19</w:t>
            </w:r>
            <w:r>
              <w:rPr>
                <w:rFonts w:ascii="Times New Roman" w:eastAsia="Calibri" w:hAnsi="Times New Roman"/>
                <w:lang w:eastAsia="en-US"/>
              </w:rPr>
              <w:t>_» __</w:t>
            </w:r>
            <w:r>
              <w:rPr>
                <w:rFonts w:ascii="Times New Roman" w:eastAsia="Calibri" w:hAnsi="Times New Roman"/>
                <w:i/>
                <w:u w:val="single"/>
                <w:lang w:eastAsia="en-US"/>
              </w:rPr>
              <w:t>ноября</w:t>
            </w:r>
            <w:r>
              <w:rPr>
                <w:rFonts w:ascii="Times New Roman" w:eastAsia="Calibri" w:hAnsi="Times New Roman"/>
                <w:lang w:eastAsia="en-US"/>
              </w:rPr>
              <w:t>_ 2021 г.</w:t>
            </w:r>
          </w:p>
          <w:p w14:paraId="1986F8FB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____________ И.Е. Скобелева</w:t>
            </w:r>
          </w:p>
          <w:p w14:paraId="6A0A6882" w14:textId="77777777" w:rsidR="00D072E0" w:rsidRDefault="00D072E0">
            <w:pPr>
              <w:widowControl w:val="0"/>
              <w:jc w:val="both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4DCFAAC9" w14:textId="77777777" w:rsidR="00D072E0" w:rsidRDefault="00D072E0" w:rsidP="00D072E0">
      <w:pPr>
        <w:widowControl w:val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32D7AE7F" w14:textId="77777777" w:rsidR="00D072E0" w:rsidRDefault="00D072E0" w:rsidP="00D072E0">
      <w:pPr>
        <w:widowControl w:val="0"/>
        <w:rPr>
          <w:rFonts w:ascii="Times New Roman" w:eastAsia="Calibri" w:hAnsi="Times New Roman"/>
          <w:b/>
          <w:sz w:val="28"/>
          <w:szCs w:val="28"/>
        </w:rPr>
      </w:pPr>
    </w:p>
    <w:p w14:paraId="174E10EF" w14:textId="77777777" w:rsidR="00D072E0" w:rsidRDefault="00D072E0" w:rsidP="00D072E0">
      <w:pPr>
        <w:widowControl w:val="0"/>
        <w:rPr>
          <w:rFonts w:ascii="Times New Roman" w:eastAsia="Calibri" w:hAnsi="Times New Roman"/>
          <w:b/>
          <w:sz w:val="28"/>
          <w:szCs w:val="28"/>
        </w:rPr>
      </w:pPr>
    </w:p>
    <w:p w14:paraId="28EC6FA7" w14:textId="77777777" w:rsidR="00D072E0" w:rsidRDefault="00D072E0" w:rsidP="00D072E0">
      <w:pPr>
        <w:widowControl w:val="0"/>
        <w:rPr>
          <w:rFonts w:ascii="Times New Roman" w:eastAsia="Calibri" w:hAnsi="Times New Roman"/>
          <w:b/>
          <w:sz w:val="28"/>
          <w:szCs w:val="28"/>
        </w:rPr>
      </w:pPr>
    </w:p>
    <w:p w14:paraId="11841072" w14:textId="77777777" w:rsidR="00D072E0" w:rsidRDefault="00D072E0" w:rsidP="00D072E0">
      <w:pPr>
        <w:widowControl w:val="0"/>
        <w:rPr>
          <w:rFonts w:ascii="Times New Roman" w:eastAsia="Calibri" w:hAnsi="Times New Roman"/>
          <w:b/>
          <w:sz w:val="28"/>
          <w:szCs w:val="28"/>
        </w:rPr>
      </w:pPr>
    </w:p>
    <w:p w14:paraId="1277906D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0FEC631E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7AA32E3E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6131F124" w14:textId="77777777" w:rsidR="00D072E0" w:rsidRDefault="00D072E0" w:rsidP="00D072E0">
      <w:pPr>
        <w:widowControl w:val="0"/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14:paraId="53FCCC37" w14:textId="4891CFD7" w:rsidR="00D072E0" w:rsidRDefault="00D072E0" w:rsidP="00D072E0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КОНЦЕПЦИЯ ЦИФРОВОГО ПРОФЕССИОНАЛЬНОГО ОБРАЗОВАНИЯ</w:t>
      </w:r>
    </w:p>
    <w:p w14:paraId="24334787" w14:textId="77777777" w:rsidR="00D072E0" w:rsidRDefault="00D072E0" w:rsidP="00D072E0">
      <w:pPr>
        <w:widowControl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E4BCEF2" w14:textId="6AFD8FAB" w:rsidR="00D072E0" w:rsidRDefault="00D072E0" w:rsidP="00D072E0">
      <w:pPr>
        <w:jc w:val="center"/>
        <w:rPr>
          <w:rFonts w:ascii="Times New Roman" w:eastAsiaTheme="minorEastAsia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Выступление на педагогическом совете</w:t>
      </w:r>
    </w:p>
    <w:p w14:paraId="1D4F1001" w14:textId="4F0E00A8" w:rsidR="00D072E0" w:rsidRDefault="005F754D" w:rsidP="00D072E0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>02</w:t>
      </w:r>
      <w:r w:rsidR="00D072E0">
        <w:rPr>
          <w:rFonts w:ascii="Times New Roman" w:hAnsi="Times New Roman"/>
          <w:bCs/>
          <w:i/>
          <w:iCs/>
          <w:sz w:val="28"/>
          <w:szCs w:val="28"/>
        </w:rPr>
        <w:t xml:space="preserve"> декабря 2021 г.</w:t>
      </w:r>
    </w:p>
    <w:p w14:paraId="7D25B407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2A785D31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669BE2F6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055EE01F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23C8B631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660240BA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7F7A11FB" w14:textId="77777777" w:rsidR="00D072E0" w:rsidRDefault="00D072E0" w:rsidP="00D072E0">
      <w:pPr>
        <w:ind w:firstLine="709"/>
        <w:jc w:val="both"/>
        <w:rPr>
          <w:rFonts w:ascii="Times New Roman" w:eastAsiaTheme="minorEastAsia" w:hAnsi="Times New Roman"/>
          <w:i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i/>
          <w:sz w:val="28"/>
          <w:szCs w:val="28"/>
        </w:rPr>
        <w:t>Драницына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 Е.Г.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</w:rPr>
        <w:t>НефтИн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(филиал) ФГБОУ ВО «ЮГУ», К.П.Н., преподаватель высшей категории</w:t>
      </w:r>
    </w:p>
    <w:p w14:paraId="0910D867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664A919A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55C0A4E6" w14:textId="77777777" w:rsidR="00D072E0" w:rsidRDefault="00D072E0" w:rsidP="00D072E0">
      <w:pPr>
        <w:widowControl w:val="0"/>
        <w:rPr>
          <w:rFonts w:ascii="Times New Roman" w:eastAsia="Calibri" w:hAnsi="Times New Roman"/>
          <w:sz w:val="28"/>
          <w:szCs w:val="28"/>
        </w:rPr>
      </w:pPr>
    </w:p>
    <w:p w14:paraId="5A82F13B" w14:textId="77777777" w:rsidR="00D072E0" w:rsidRDefault="00D072E0" w:rsidP="00D072E0">
      <w:pPr>
        <w:widowControl w:val="0"/>
        <w:jc w:val="center"/>
        <w:rPr>
          <w:rFonts w:ascii="Times New Roman" w:eastAsia="Calibri" w:hAnsi="Times New Roman"/>
          <w:sz w:val="28"/>
          <w:szCs w:val="28"/>
        </w:rPr>
      </w:pPr>
    </w:p>
    <w:p w14:paraId="6C6D50ED" w14:textId="77777777" w:rsidR="00D072E0" w:rsidRDefault="00D072E0" w:rsidP="00D072E0">
      <w:pPr>
        <w:widowControl w:val="0"/>
        <w:jc w:val="center"/>
        <w:rPr>
          <w:rFonts w:ascii="Times New Roman" w:eastAsia="Calibri" w:hAnsi="Times New Roman"/>
          <w:sz w:val="28"/>
          <w:szCs w:val="28"/>
        </w:rPr>
      </w:pPr>
    </w:p>
    <w:p w14:paraId="38C694E6" w14:textId="77777777" w:rsidR="00D072E0" w:rsidRDefault="00D072E0" w:rsidP="00D072E0">
      <w:pPr>
        <w:widowControl w:val="0"/>
        <w:jc w:val="center"/>
        <w:rPr>
          <w:rFonts w:ascii="Times New Roman" w:eastAsia="Calibri" w:hAnsi="Times New Roman"/>
          <w:sz w:val="28"/>
          <w:szCs w:val="28"/>
        </w:rPr>
      </w:pPr>
    </w:p>
    <w:p w14:paraId="354B1EB0" w14:textId="77777777" w:rsidR="00D072E0" w:rsidRDefault="00D072E0" w:rsidP="00D072E0">
      <w:pPr>
        <w:widowControl w:val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Нижневартовск</w:t>
      </w:r>
    </w:p>
    <w:p w14:paraId="1DE50554" w14:textId="77777777" w:rsidR="00D072E0" w:rsidRDefault="00D072E0" w:rsidP="00D072E0">
      <w:pPr>
        <w:widowControl w:val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-2021-</w:t>
      </w:r>
    </w:p>
    <w:p w14:paraId="73CE8641" w14:textId="55017242" w:rsidR="00535FDC" w:rsidRPr="00535FDC" w:rsidRDefault="00535FDC" w:rsidP="003335F6">
      <w:pPr>
        <w:spacing w:line="360" w:lineRule="auto"/>
        <w:ind w:firstLine="709"/>
        <w:jc w:val="both"/>
        <w:rPr>
          <w:rFonts w:ascii="Times New Roman" w:eastAsiaTheme="minorHAnsi" w:hAnsi="Times New Roman"/>
          <w:i/>
          <w:color w:val="FF0000"/>
          <w:sz w:val="28"/>
          <w:szCs w:val="28"/>
          <w:lang w:eastAsia="en-US"/>
        </w:rPr>
      </w:pPr>
      <w:r w:rsidRPr="00535FDC">
        <w:rPr>
          <w:rFonts w:ascii="Times New Roman" w:hAnsi="Times New Roman"/>
          <w:sz w:val="28"/>
          <w:szCs w:val="28"/>
        </w:rPr>
        <w:lastRenderedPageBreak/>
        <w:t>Так, Указом Президента Российской Федерации от 21 июля 2020 г. № 474 «О национальных целях развития Российской Федерации на период до 2030 года» в качестве одного из целевых показателей национальной цели «цифровая трансформация» указано достижение «цифровой зрелости» ключевых отраслей экономики и социальной сферы</w:t>
      </w:r>
      <w:r>
        <w:rPr>
          <w:rFonts w:ascii="Times New Roman" w:hAnsi="Times New Roman"/>
          <w:sz w:val="28"/>
          <w:szCs w:val="28"/>
        </w:rPr>
        <w:t>.</w:t>
      </w:r>
    </w:p>
    <w:p w14:paraId="7EC91106" w14:textId="649F71A7" w:rsidR="00535FDC" w:rsidRDefault="00535FDC" w:rsidP="003335F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Министерством науки и высшего образования Российской Федерации для формирования стратегического документа, направленного на достижение цифровой зрелости образовательной организации к 2030 году разработаны методические указания.</w:t>
      </w:r>
    </w:p>
    <w:p w14:paraId="4E5D455C" w14:textId="6B1192DB" w:rsidR="00535FDC" w:rsidRPr="00DD6667" w:rsidRDefault="00535FDC" w:rsidP="003335F6">
      <w:pPr>
        <w:spacing w:line="360" w:lineRule="auto"/>
        <w:ind w:firstLine="709"/>
        <w:jc w:val="both"/>
        <w:rPr>
          <w:rFonts w:ascii="Times New Roman" w:eastAsiaTheme="minorHAnsi" w:hAnsi="Times New Roman"/>
          <w:b/>
          <w:i/>
          <w:color w:val="000000" w:themeColor="text1"/>
          <w:sz w:val="28"/>
          <w:szCs w:val="28"/>
          <w:lang w:eastAsia="en-US"/>
        </w:rPr>
      </w:pPr>
      <w:bookmarkStart w:id="0" w:name="_GoBack"/>
      <w:r w:rsidRPr="00DD6667">
        <w:rPr>
          <w:rFonts w:ascii="Times New Roman" w:eastAsiaTheme="minorHAnsi" w:hAnsi="Times New Roman"/>
          <w:b/>
          <w:i/>
          <w:color w:val="000000" w:themeColor="text1"/>
          <w:sz w:val="28"/>
          <w:szCs w:val="28"/>
          <w:lang w:eastAsia="en-US"/>
        </w:rPr>
        <w:t>ОБРАЗОВАТЕЛЬНАЯ ОРГАНИЗАЦИЯ САМОСТОЯТЕЛЬНО ФОРМИРУЕТ СОДЕРЖАТЕЛЬНОЕ ВИДЕНИЕ ЦИФРОВОЙ ТРАНСФОРМАЦИИ.</w:t>
      </w:r>
    </w:p>
    <w:bookmarkEnd w:id="0"/>
    <w:p w14:paraId="7A3B5995" w14:textId="3389378D" w:rsidR="00535FDC" w:rsidRDefault="00535FDC" w:rsidP="003335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FDC">
        <w:rPr>
          <w:rFonts w:ascii="Times New Roman" w:hAnsi="Times New Roman"/>
          <w:sz w:val="28"/>
          <w:szCs w:val="28"/>
        </w:rPr>
        <w:t>Фундаментальное событие процесса цифровой трансформации – это формирование и распространение новых, с точки зрения содержания, моделей работы организаций в сфере науки и высшего образования. В их основе лежит комбинация непрерывного профессионального развития, новых цифровых сервисов и инструментов, инфраструктурных и организационных условий для внедрения изменений, сопровождение участников, при освоении новых ролей и методов рабочего взаимодействия.</w:t>
      </w:r>
    </w:p>
    <w:p w14:paraId="63E705D9" w14:textId="77777777" w:rsidR="00535FDC" w:rsidRPr="003335F6" w:rsidRDefault="00535FDC" w:rsidP="003335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5F6">
        <w:rPr>
          <w:rFonts w:ascii="Times New Roman" w:hAnsi="Times New Roman"/>
          <w:sz w:val="28"/>
          <w:szCs w:val="28"/>
        </w:rPr>
        <w:t xml:space="preserve">В рамках разработки стратегии рассматриваются следующие ключевые направления цифровой трансформации сферы науки и ВО: </w:t>
      </w:r>
    </w:p>
    <w:p w14:paraId="7289B58E" w14:textId="77777777" w:rsidR="00535FDC" w:rsidRPr="003335F6" w:rsidRDefault="00535FDC" w:rsidP="003335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5F6">
        <w:rPr>
          <w:rFonts w:ascii="Times New Roman" w:hAnsi="Times New Roman"/>
          <w:sz w:val="28"/>
          <w:szCs w:val="28"/>
        </w:rPr>
        <w:t>- развитие цифровых сервисов;</w:t>
      </w:r>
    </w:p>
    <w:p w14:paraId="3130DBD3" w14:textId="77777777" w:rsidR="00535FDC" w:rsidRPr="003335F6" w:rsidRDefault="00535FDC" w:rsidP="003335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5F6">
        <w:rPr>
          <w:rFonts w:ascii="Times New Roman" w:hAnsi="Times New Roman"/>
          <w:sz w:val="28"/>
          <w:szCs w:val="28"/>
        </w:rPr>
        <w:t xml:space="preserve"> - модернизация инфраструктуры; </w:t>
      </w:r>
    </w:p>
    <w:p w14:paraId="26200C9E" w14:textId="77777777" w:rsidR="00535FDC" w:rsidRPr="003335F6" w:rsidRDefault="00535FDC" w:rsidP="003335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5F6">
        <w:rPr>
          <w:rFonts w:ascii="Times New Roman" w:hAnsi="Times New Roman"/>
          <w:sz w:val="28"/>
          <w:szCs w:val="28"/>
        </w:rPr>
        <w:t xml:space="preserve">- управление данными; </w:t>
      </w:r>
    </w:p>
    <w:p w14:paraId="3224F371" w14:textId="5FF22797" w:rsidR="00535FDC" w:rsidRDefault="00535FDC" w:rsidP="003335F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5F6">
        <w:rPr>
          <w:rFonts w:ascii="Times New Roman" w:hAnsi="Times New Roman"/>
          <w:sz w:val="28"/>
          <w:szCs w:val="28"/>
        </w:rPr>
        <w:t>- управление кадровым потенциалом</w:t>
      </w:r>
      <w:r w:rsidR="003335F6">
        <w:rPr>
          <w:rFonts w:ascii="Times New Roman" w:hAnsi="Times New Roman"/>
          <w:sz w:val="28"/>
          <w:szCs w:val="28"/>
        </w:rPr>
        <w:t>.</w:t>
      </w:r>
    </w:p>
    <w:p w14:paraId="43D84D5D" w14:textId="56FAF11B" w:rsidR="003335F6" w:rsidRPr="00FD588D" w:rsidRDefault="003335F6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88D">
        <w:rPr>
          <w:rFonts w:ascii="Times New Roman" w:hAnsi="Times New Roman"/>
          <w:sz w:val="28"/>
          <w:szCs w:val="28"/>
        </w:rPr>
        <w:t xml:space="preserve">Деятельность в этом направлении связана с персонализацией обучения и преодолением цифрового разрыва. Персонализация обучения меняет традиционную организацию образовательного процесса и обеспечивает достижение каждым обучающимся высоких результатов. У обучающихся должны не только накапливаться знания, но и развиваться способность </w:t>
      </w:r>
      <w:r w:rsidRPr="00FD588D">
        <w:rPr>
          <w:rFonts w:ascii="Times New Roman" w:hAnsi="Times New Roman"/>
          <w:sz w:val="28"/>
          <w:szCs w:val="28"/>
        </w:rPr>
        <w:lastRenderedPageBreak/>
        <w:t xml:space="preserve">учиться, ориентироваться в большом информационном потоке, оценивать актуальность знаний и навыков в текущий момент и адаптироваться к изменениям в профессии, которые могут произойти за время обучения. Здесь традиционная организация образовательного 3 Российская наука в цифрах / В.В. Власова, Л.М. </w:t>
      </w:r>
      <w:proofErr w:type="spellStart"/>
      <w:r w:rsidRPr="00FD588D">
        <w:rPr>
          <w:rFonts w:ascii="Times New Roman" w:hAnsi="Times New Roman"/>
          <w:sz w:val="28"/>
          <w:szCs w:val="28"/>
        </w:rPr>
        <w:t>Гохберг</w:t>
      </w:r>
      <w:proofErr w:type="spellEnd"/>
      <w:r w:rsidRPr="00FD588D">
        <w:rPr>
          <w:rFonts w:ascii="Times New Roman" w:hAnsi="Times New Roman"/>
          <w:sz w:val="28"/>
          <w:szCs w:val="28"/>
        </w:rPr>
        <w:t xml:space="preserve">, Е.Л. Дьяченко и др.; Нац. </w:t>
      </w:r>
      <w:proofErr w:type="spellStart"/>
      <w:r w:rsidRPr="00FD588D">
        <w:rPr>
          <w:rFonts w:ascii="Times New Roman" w:hAnsi="Times New Roman"/>
          <w:sz w:val="28"/>
          <w:szCs w:val="28"/>
        </w:rPr>
        <w:t>исслед</w:t>
      </w:r>
      <w:proofErr w:type="spellEnd"/>
      <w:r w:rsidRPr="00FD588D">
        <w:rPr>
          <w:rFonts w:ascii="Times New Roman" w:hAnsi="Times New Roman"/>
          <w:sz w:val="28"/>
          <w:szCs w:val="28"/>
        </w:rPr>
        <w:t xml:space="preserve">. ун-т «Высшая школа экономики». – М.: НИУ ВШЭ, 2018., с. 25 16 процесса оказывается малоэффективной и должна быть реализована в парадигме </w:t>
      </w:r>
      <w:proofErr w:type="spellStart"/>
      <w:r w:rsidRPr="00FD588D">
        <w:rPr>
          <w:rFonts w:ascii="Times New Roman" w:hAnsi="Times New Roman"/>
          <w:sz w:val="28"/>
          <w:szCs w:val="28"/>
        </w:rPr>
        <w:t>персонализаци</w:t>
      </w:r>
      <w:proofErr w:type="spellEnd"/>
    </w:p>
    <w:p w14:paraId="3EDEFD5E" w14:textId="45181D9F" w:rsidR="003335F6" w:rsidRPr="00FD588D" w:rsidRDefault="003335F6" w:rsidP="00FD588D">
      <w:pPr>
        <w:spacing w:line="36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FD588D">
        <w:rPr>
          <w:rFonts w:ascii="Times New Roman" w:hAnsi="Times New Roman"/>
          <w:sz w:val="28"/>
          <w:szCs w:val="28"/>
        </w:rPr>
        <w:t xml:space="preserve">Что касается развития цифровых сервисов в России, то с пандемией COVID-19 актуальность таких сервисов значительно возросла. Так только за период 2020-2021 гг. рынок онлайн-образования в России 2020 года вырос на 30-35% в сравнении с </w:t>
      </w:r>
      <w:proofErr w:type="spellStart"/>
      <w:r w:rsidRPr="00FD588D">
        <w:rPr>
          <w:rFonts w:ascii="Times New Roman" w:hAnsi="Times New Roman"/>
          <w:sz w:val="28"/>
          <w:szCs w:val="28"/>
        </w:rPr>
        <w:t>доковидным</w:t>
      </w:r>
      <w:proofErr w:type="spellEnd"/>
      <w:r w:rsidRPr="00FD588D">
        <w:rPr>
          <w:rFonts w:ascii="Times New Roman" w:hAnsi="Times New Roman"/>
          <w:sz w:val="28"/>
          <w:szCs w:val="28"/>
        </w:rPr>
        <w:t xml:space="preserve"> периодом</w:t>
      </w:r>
      <w:r w:rsidR="00FD588D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FD588D" w:rsidRPr="00FD588D">
          <w:rPr>
            <w:rStyle w:val="a7"/>
            <w:rFonts w:ascii="Times New Roman" w:hAnsi="Times New Roman"/>
            <w:i/>
            <w:sz w:val="28"/>
            <w:szCs w:val="28"/>
          </w:rPr>
          <w:t>https://rg.ru/2021/01/12/v-2021-godu-rynok-onlajn-obrazovaniia-v-rossii-prodolzhit-vzryvnoj-rost.html</w:t>
        </w:r>
      </w:hyperlink>
    </w:p>
    <w:p w14:paraId="4CF57BB5" w14:textId="6620F215" w:rsidR="00FD588D" w:rsidRPr="00DD6667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DD6667">
        <w:rPr>
          <w:rFonts w:ascii="Times New Roman" w:hAnsi="Times New Roman"/>
          <w:i/>
          <w:color w:val="000000" w:themeColor="text1"/>
          <w:sz w:val="28"/>
          <w:szCs w:val="28"/>
        </w:rPr>
        <w:t>Слайд 5</w:t>
      </w:r>
      <w:r w:rsidRPr="00DD6667">
        <w:rPr>
          <w:rFonts w:ascii="Times New Roman" w:hAnsi="Times New Roman"/>
          <w:color w:val="000000" w:themeColor="text1"/>
          <w:sz w:val="28"/>
          <w:szCs w:val="28"/>
        </w:rPr>
        <w:t xml:space="preserve"> Развитие цифровых сервисов</w:t>
      </w:r>
    </w:p>
    <w:p w14:paraId="7D7FED6D" w14:textId="6478026A" w:rsidR="00535FDC" w:rsidRPr="00FD588D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88D">
        <w:rPr>
          <w:rFonts w:ascii="Times New Roman" w:hAnsi="Times New Roman"/>
          <w:sz w:val="28"/>
          <w:szCs w:val="28"/>
        </w:rPr>
        <w:t xml:space="preserve">С целью объединения информации обо всех онлайн-курсах в стране Постановлением Правительства РФ от 16.11.2020 N 1836 "О государственной информационной системе "Современная цифровая образовательная среда" был создан автоматизированный сервис психометрической аналитики, интегрированный в качестве подсистемы портала online.edu.ru (информационный ресурс «одного окна»), который обеспечивает доступ к сотням российских онлайн-курсов. </w:t>
      </w:r>
    </w:p>
    <w:p w14:paraId="624DFABC" w14:textId="5EA80E89" w:rsidR="00535FDC" w:rsidRPr="00FD588D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88D">
        <w:rPr>
          <w:rFonts w:ascii="Times New Roman" w:hAnsi="Times New Roman"/>
          <w:sz w:val="28"/>
          <w:szCs w:val="28"/>
        </w:rPr>
        <w:t xml:space="preserve">Еще одним полезным цифровым сервисом в сфере образовательных услуг выступает </w:t>
      </w:r>
      <w:proofErr w:type="spellStart"/>
      <w:r w:rsidRPr="00FD588D">
        <w:rPr>
          <w:rFonts w:ascii="Times New Roman" w:hAnsi="Times New Roman"/>
          <w:sz w:val="28"/>
          <w:szCs w:val="28"/>
        </w:rPr>
        <w:t>суперсервис</w:t>
      </w:r>
      <w:proofErr w:type="spellEnd"/>
      <w:r w:rsidRPr="00FD588D">
        <w:rPr>
          <w:rFonts w:ascii="Times New Roman" w:hAnsi="Times New Roman"/>
          <w:sz w:val="28"/>
          <w:szCs w:val="28"/>
        </w:rPr>
        <w:t xml:space="preserve"> «Поступление в вуз онлайн». Сервис был запущен в июне 2020 года, тогда к нему подключили 54 вуза. В 2021 году еще 137 учебных заведений будут принимать документы онлайн, а с 2022-го система распространится на всю страну </w:t>
      </w:r>
      <w:hyperlink r:id="rId8" w:history="1">
        <w:r w:rsidRPr="00FD588D">
          <w:rPr>
            <w:rStyle w:val="a7"/>
            <w:rFonts w:ascii="Times New Roman" w:hAnsi="Times New Roman"/>
            <w:sz w:val="28"/>
            <w:szCs w:val="28"/>
          </w:rPr>
          <w:t>https://ria.ru/20210106/postuplenie-1592139594.html</w:t>
        </w:r>
      </w:hyperlink>
    </w:p>
    <w:p w14:paraId="5F448D04" w14:textId="49354416" w:rsidR="00FD588D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88D">
        <w:rPr>
          <w:rFonts w:ascii="Times New Roman" w:hAnsi="Times New Roman"/>
          <w:sz w:val="28"/>
          <w:szCs w:val="28"/>
        </w:rPr>
        <w:t xml:space="preserve">Острая потребность в специалистах с цифровыми компетенциями требует создания условий для их ускоренной подготовки. Период полураспада компетентности (временной отрезок с момента окончания вуза, когда в результате появления новых научно - технических сведений компетентность </w:t>
      </w:r>
      <w:r w:rsidRPr="00FD588D">
        <w:rPr>
          <w:rFonts w:ascii="Times New Roman" w:hAnsi="Times New Roman"/>
          <w:sz w:val="28"/>
          <w:szCs w:val="28"/>
        </w:rPr>
        <w:lastRenderedPageBreak/>
        <w:t>специалиста снижается на 50%) является одним из измерителей актуальности существующих образовательных программ. Например, в металлургии знания устаревают каждые 3,9 года; в машиностроении — 5,2 года; в химической промышленности — 4,8 года; в рекламе — 5 лет; в бизнесе — 2 года35. Создание цифровых сервисов в сфере образования поможет нивелировать данную проблему.</w:t>
      </w:r>
    </w:p>
    <w:p w14:paraId="1B81EC57" w14:textId="522F3372" w:rsidR="00FD588D" w:rsidRPr="00FD588D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588D">
        <w:rPr>
          <w:rFonts w:ascii="Times New Roman" w:hAnsi="Times New Roman"/>
          <w:sz w:val="28"/>
          <w:szCs w:val="28"/>
        </w:rPr>
        <w:t>По исследованиям, не менее трети российских школьников не имеет возможности полноценно обучаться через интернет.</w:t>
      </w:r>
    </w:p>
    <w:p w14:paraId="77D5731A" w14:textId="3C62FC7C" w:rsidR="00FD588D" w:rsidRPr="00DD6667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DD6667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Слайд 6 Модернизация </w:t>
      </w:r>
      <w:proofErr w:type="spellStart"/>
      <w:r w:rsidRPr="00DD6667">
        <w:rPr>
          <w:rFonts w:ascii="Times New Roman" w:hAnsi="Times New Roman"/>
          <w:i/>
          <w:color w:val="000000" w:themeColor="text1"/>
          <w:sz w:val="28"/>
          <w:szCs w:val="28"/>
        </w:rPr>
        <w:t>инфроструктуры</w:t>
      </w:r>
      <w:proofErr w:type="spellEnd"/>
    </w:p>
    <w:p w14:paraId="3C7CECA6" w14:textId="6A50E14F" w:rsidR="00FD588D" w:rsidRPr="00DF773E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773E">
        <w:rPr>
          <w:rFonts w:ascii="Times New Roman" w:hAnsi="Times New Roman"/>
          <w:sz w:val="28"/>
          <w:szCs w:val="28"/>
        </w:rPr>
        <w:t>Уровень развития образовательной инфраструктуры ― важнейший параметр конкурентоспособности системы образования. Наличие развитой инфраструктуры в образовательной организации и использование технологий не является само по себе трансформирующим фактором, однако, является базисом, без которого невозможна цифровая трансформация и переход к инновационной инфраструктуре образовательных организаций.</w:t>
      </w:r>
    </w:p>
    <w:p w14:paraId="3BE08DC2" w14:textId="7D62F54C" w:rsidR="00FD588D" w:rsidRPr="00DF773E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773E">
        <w:rPr>
          <w:rFonts w:ascii="Times New Roman" w:hAnsi="Times New Roman"/>
          <w:sz w:val="28"/>
          <w:szCs w:val="28"/>
        </w:rPr>
        <w:t xml:space="preserve">В России была разработана Национальная исследовательская компьютерная сеть России (НИКС), созданная по заданию Минобрнауки России в 2019 году в результате интеграции функционировавших на протяжении 25 лет отраслевых научно-образовательных телекоммуникационных сетей - федеральной университетской компьютерной сети </w:t>
      </w:r>
      <w:proofErr w:type="spellStart"/>
      <w:r w:rsidRPr="00DF773E">
        <w:rPr>
          <w:rFonts w:ascii="Times New Roman" w:hAnsi="Times New Roman"/>
          <w:sz w:val="28"/>
          <w:szCs w:val="28"/>
        </w:rPr>
        <w:t>RUNNet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773E">
        <w:rPr>
          <w:rFonts w:ascii="Times New Roman" w:hAnsi="Times New Roman"/>
          <w:sz w:val="28"/>
          <w:szCs w:val="28"/>
        </w:rPr>
        <w:t>Russian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773E">
        <w:rPr>
          <w:rFonts w:ascii="Times New Roman" w:hAnsi="Times New Roman"/>
          <w:sz w:val="28"/>
          <w:szCs w:val="28"/>
        </w:rPr>
        <w:t>UNiversity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773E">
        <w:rPr>
          <w:rFonts w:ascii="Times New Roman" w:hAnsi="Times New Roman"/>
          <w:sz w:val="28"/>
          <w:szCs w:val="28"/>
        </w:rPr>
        <w:t>Network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) и сети организаций Российской академии наук </w:t>
      </w:r>
      <w:proofErr w:type="spellStart"/>
      <w:r w:rsidRPr="00DF773E">
        <w:rPr>
          <w:rFonts w:ascii="Times New Roman" w:hAnsi="Times New Roman"/>
          <w:sz w:val="28"/>
          <w:szCs w:val="28"/>
        </w:rPr>
        <w:t>RASNet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DF773E">
        <w:rPr>
          <w:rFonts w:ascii="Times New Roman" w:hAnsi="Times New Roman"/>
          <w:sz w:val="28"/>
          <w:szCs w:val="28"/>
        </w:rPr>
        <w:t>Russian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773E">
        <w:rPr>
          <w:rFonts w:ascii="Times New Roman" w:hAnsi="Times New Roman"/>
          <w:sz w:val="28"/>
          <w:szCs w:val="28"/>
        </w:rPr>
        <w:t>Academy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773E">
        <w:rPr>
          <w:rFonts w:ascii="Times New Roman" w:hAnsi="Times New Roman"/>
          <w:sz w:val="28"/>
          <w:szCs w:val="28"/>
        </w:rPr>
        <w:t>of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773E">
        <w:rPr>
          <w:rFonts w:ascii="Times New Roman" w:hAnsi="Times New Roman"/>
          <w:sz w:val="28"/>
          <w:szCs w:val="28"/>
        </w:rPr>
        <w:t>Science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773E">
        <w:rPr>
          <w:rFonts w:ascii="Times New Roman" w:hAnsi="Times New Roman"/>
          <w:sz w:val="28"/>
          <w:szCs w:val="28"/>
        </w:rPr>
        <w:t>Network</w:t>
      </w:r>
      <w:proofErr w:type="spellEnd"/>
      <w:r w:rsidRPr="00DF773E">
        <w:rPr>
          <w:rFonts w:ascii="Times New Roman" w:hAnsi="Times New Roman"/>
          <w:sz w:val="28"/>
          <w:szCs w:val="28"/>
        </w:rPr>
        <w:t xml:space="preserve">). Телекоммуникационные узлы объединенной сети НИКС на данный момент имеются в более чем 50 регионах России. Общее количество пользователей сети по независимым экспертным оценкам превышает три миллиона человек, что делает ее не только крупнейшей научно-образовательной сетью страны, но и одной из крупнейших компьютерных сетей России и мира. </w:t>
      </w:r>
    </w:p>
    <w:p w14:paraId="58696ABB" w14:textId="7E1D46CE" w:rsidR="00FD588D" w:rsidRPr="00DF773E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DF773E">
        <w:rPr>
          <w:rFonts w:ascii="Times New Roman" w:hAnsi="Times New Roman"/>
          <w:sz w:val="28"/>
          <w:szCs w:val="28"/>
        </w:rPr>
        <w:t xml:space="preserve">Что касается тенденций в России, то пандемия COVID-19 продемонстрировала целый ряд проблем в области цифровой образовательной инфраструктуры. Согласно исследованию «Проблемы перехода на </w:t>
      </w:r>
      <w:r w:rsidRPr="00DF773E">
        <w:rPr>
          <w:rFonts w:ascii="Times New Roman" w:hAnsi="Times New Roman"/>
          <w:sz w:val="28"/>
          <w:szCs w:val="28"/>
        </w:rPr>
        <w:lastRenderedPageBreak/>
        <w:t>дистанционное обучение в РФ глазами учителей», большинство учителей, которые не использовали средства дистанционного обучения объясняли это тем, что у учеников отсутствовал компьютер или высокоскоростной интернет https://niks.su/about</w:t>
      </w:r>
    </w:p>
    <w:p w14:paraId="116D30D3" w14:textId="77777777" w:rsidR="00DF773E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773E">
        <w:rPr>
          <w:rFonts w:ascii="Times New Roman" w:hAnsi="Times New Roman"/>
          <w:sz w:val="28"/>
          <w:szCs w:val="28"/>
        </w:rPr>
        <w:t>Таким образом внедрение цифровой трансформации сталкивается с барьерами, связанными в том числе с неоднородностью и неравенством исходного положения образовательных организаций, а также с неравенством обеспечения и использования ЦТ. Преодоление технологического разрыва является базисом в процессе цифровизации, однако повышение результативности работы образовательных организаций связано с последующим устранением цифрового разрыва, который возможен только в условиях полного устранения первого. Например, доля организаций ВО, у которых есть соответствующее и доступное для использования обучающимися ПО для научных исследований и виртуальных тренажеров составляет 57 и 51 % соответственно</w:t>
      </w:r>
      <w:r w:rsidR="00DF773E">
        <w:rPr>
          <w:rFonts w:ascii="Times New Roman" w:hAnsi="Times New Roman"/>
          <w:sz w:val="28"/>
          <w:szCs w:val="28"/>
        </w:rPr>
        <w:t xml:space="preserve"> /48. </w:t>
      </w:r>
      <w:r w:rsidR="00DF773E">
        <w:t xml:space="preserve">Российское образование, достижения, вызовы, перспективы/Я.И. Кузьминов, И.Д. Фрумин, Нац. </w:t>
      </w:r>
      <w:proofErr w:type="spellStart"/>
      <w:r w:rsidR="00DF773E">
        <w:t>исслед</w:t>
      </w:r>
      <w:proofErr w:type="spellEnd"/>
      <w:r w:rsidR="00DF773E">
        <w:t xml:space="preserve">. ун-т «Высшая школа экономики», 2019., с. 86 </w:t>
      </w:r>
      <w:r w:rsidR="00DF773E">
        <w:rPr>
          <w:rFonts w:ascii="Times New Roman" w:hAnsi="Times New Roman"/>
          <w:sz w:val="28"/>
          <w:szCs w:val="28"/>
        </w:rPr>
        <w:t>/</w:t>
      </w:r>
    </w:p>
    <w:p w14:paraId="3D67391B" w14:textId="24F6C1D5" w:rsidR="00FD588D" w:rsidRPr="00DD6667" w:rsidRDefault="00FD588D" w:rsidP="00FD588D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F773E">
        <w:rPr>
          <w:rFonts w:ascii="Times New Roman" w:hAnsi="Times New Roman"/>
          <w:sz w:val="28"/>
          <w:szCs w:val="28"/>
        </w:rPr>
        <w:t xml:space="preserve"> Поэтому продолжение технологической модернизации образовательных организаций остается приоритетным направлением цифровой трансформации</w:t>
      </w:r>
    </w:p>
    <w:p w14:paraId="2976BE2E" w14:textId="41C0EC36" w:rsidR="00DF773E" w:rsidRPr="00DD6667" w:rsidRDefault="00DF773E" w:rsidP="00FD588D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DD6667">
        <w:rPr>
          <w:rFonts w:ascii="Times New Roman" w:hAnsi="Times New Roman"/>
          <w:i/>
          <w:color w:val="000000" w:themeColor="text1"/>
          <w:sz w:val="28"/>
          <w:szCs w:val="28"/>
        </w:rPr>
        <w:t>Слайд 7 Управление данными</w:t>
      </w:r>
    </w:p>
    <w:p w14:paraId="6EF747F0" w14:textId="77777777" w:rsidR="00DF773E" w:rsidRPr="001206B2" w:rsidRDefault="00DF773E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B2">
        <w:rPr>
          <w:rFonts w:ascii="Times New Roman" w:hAnsi="Times New Roman"/>
          <w:sz w:val="28"/>
          <w:szCs w:val="28"/>
        </w:rPr>
        <w:t xml:space="preserve">Анализ опыта коммерческих организаций, таких как </w:t>
      </w:r>
      <w:proofErr w:type="spellStart"/>
      <w:r w:rsidRPr="001206B2">
        <w:rPr>
          <w:rFonts w:ascii="Times New Roman" w:hAnsi="Times New Roman"/>
          <w:sz w:val="28"/>
          <w:szCs w:val="28"/>
        </w:rPr>
        <w:t>Google</w:t>
      </w:r>
      <w:proofErr w:type="spellEnd"/>
      <w:r w:rsidRPr="001206B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206B2">
        <w:rPr>
          <w:rFonts w:ascii="Times New Roman" w:hAnsi="Times New Roman"/>
          <w:sz w:val="28"/>
          <w:szCs w:val="28"/>
        </w:rPr>
        <w:t>Microsoft</w:t>
      </w:r>
      <w:proofErr w:type="spellEnd"/>
      <w:r w:rsidRPr="001206B2">
        <w:rPr>
          <w:rFonts w:ascii="Times New Roman" w:hAnsi="Times New Roman"/>
          <w:sz w:val="28"/>
          <w:szCs w:val="28"/>
        </w:rPr>
        <w:t xml:space="preserve">, показывает следующие основные направления по управлению данными: 1) Анализ и классификация данных. 2) Каталогизация данных и управление метаданными. 3) Управление качеством данных. 4) Демократизация данных. 5) Защита данных. </w:t>
      </w:r>
    </w:p>
    <w:p w14:paraId="21329914" w14:textId="1F8FABD7" w:rsidR="00DF773E" w:rsidRPr="001206B2" w:rsidRDefault="00DF773E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B2">
        <w:rPr>
          <w:rFonts w:ascii="Times New Roman" w:hAnsi="Times New Roman"/>
          <w:sz w:val="28"/>
          <w:szCs w:val="28"/>
        </w:rPr>
        <w:t>Цели внедрения стратегии управления данными у коммерческих организаций схожи – каждая стремится оптимизировать бизнес-процессы, сократить издержки, создать источники дополнительной прибыли</w:t>
      </w:r>
    </w:p>
    <w:p w14:paraId="65C00F13" w14:textId="362EA77D" w:rsidR="00DF773E" w:rsidRPr="00DD6667" w:rsidRDefault="00DF773E" w:rsidP="00FD588D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DD6667">
        <w:rPr>
          <w:rFonts w:ascii="Times New Roman" w:hAnsi="Times New Roman"/>
          <w:i/>
          <w:color w:val="000000" w:themeColor="text1"/>
          <w:sz w:val="28"/>
          <w:szCs w:val="28"/>
        </w:rPr>
        <w:t xml:space="preserve">Слайд </w:t>
      </w:r>
      <w:proofErr w:type="gramStart"/>
      <w:r w:rsidRPr="00DD6667">
        <w:rPr>
          <w:rFonts w:ascii="Times New Roman" w:hAnsi="Times New Roman"/>
          <w:i/>
          <w:color w:val="000000" w:themeColor="text1"/>
          <w:sz w:val="28"/>
          <w:szCs w:val="28"/>
        </w:rPr>
        <w:t>8  Управление</w:t>
      </w:r>
      <w:proofErr w:type="gramEnd"/>
      <w:r w:rsidRPr="00DD6667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кадровым потенциалом</w:t>
      </w:r>
    </w:p>
    <w:p w14:paraId="36DC3190" w14:textId="39D4CDBA" w:rsidR="00587D32" w:rsidRPr="001206B2" w:rsidRDefault="00587D32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B2">
        <w:rPr>
          <w:rFonts w:ascii="Times New Roman" w:hAnsi="Times New Roman"/>
          <w:sz w:val="28"/>
          <w:szCs w:val="28"/>
        </w:rPr>
        <w:lastRenderedPageBreak/>
        <w:t xml:space="preserve">Так компания </w:t>
      </w:r>
      <w:proofErr w:type="spellStart"/>
      <w:r w:rsidRPr="001206B2">
        <w:rPr>
          <w:rFonts w:ascii="Times New Roman" w:hAnsi="Times New Roman"/>
          <w:sz w:val="28"/>
          <w:szCs w:val="28"/>
        </w:rPr>
        <w:t>Google</w:t>
      </w:r>
      <w:proofErr w:type="spellEnd"/>
      <w:r w:rsidRPr="001206B2">
        <w:rPr>
          <w:rFonts w:ascii="Times New Roman" w:hAnsi="Times New Roman"/>
          <w:sz w:val="28"/>
          <w:szCs w:val="28"/>
        </w:rPr>
        <w:t xml:space="preserve"> реализует ряд программ и мероприятий в области бесплатного онлайн-обучения цифровым навыкам.</w:t>
      </w:r>
    </w:p>
    <w:p w14:paraId="33E53C4D" w14:textId="74C82A45" w:rsidR="00587D32" w:rsidRPr="001206B2" w:rsidRDefault="00587D32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B2">
        <w:rPr>
          <w:rFonts w:ascii="Times New Roman" w:hAnsi="Times New Roman"/>
          <w:sz w:val="28"/>
          <w:szCs w:val="28"/>
        </w:rPr>
        <w:t>Одной из проблем, с которой сталкиваются отечественные вузы, выступает консервативное отношение преподавательского сообщества к цифровым инструментам в образовании. Согласно данным опроса около 42% преподавателей высших учебных заведений используют цифровые ресурсы для создания учебных материалов.</w:t>
      </w:r>
    </w:p>
    <w:p w14:paraId="697F4151" w14:textId="77777777" w:rsidR="00587D32" w:rsidRPr="001206B2" w:rsidRDefault="00587D32" w:rsidP="00FD58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6B2">
        <w:rPr>
          <w:rFonts w:ascii="Times New Roman" w:hAnsi="Times New Roman"/>
          <w:sz w:val="28"/>
          <w:szCs w:val="28"/>
        </w:rPr>
        <w:t xml:space="preserve">При этом только 23% преподавателей используют средства для защиты информации в цифровой среде (пароли, шифрование и т.п.) 58 Константинова Д.С., </w:t>
      </w:r>
      <w:proofErr w:type="spellStart"/>
      <w:r w:rsidRPr="001206B2">
        <w:rPr>
          <w:rFonts w:ascii="Times New Roman" w:hAnsi="Times New Roman"/>
          <w:sz w:val="28"/>
          <w:szCs w:val="28"/>
        </w:rPr>
        <w:t>Кудаева</w:t>
      </w:r>
      <w:proofErr w:type="spellEnd"/>
      <w:r w:rsidRPr="001206B2">
        <w:rPr>
          <w:rFonts w:ascii="Times New Roman" w:hAnsi="Times New Roman"/>
          <w:sz w:val="28"/>
          <w:szCs w:val="28"/>
        </w:rPr>
        <w:t xml:space="preserve"> М.М. Цифровые компетенции как основа трансформации профессионального образования // Экономика труда. – 2020. – Том 7. – № 11. – С. 1055-1072. </w:t>
      </w:r>
    </w:p>
    <w:p w14:paraId="3E0A8410" w14:textId="3ED0C0BF" w:rsidR="00587D32" w:rsidRPr="001206B2" w:rsidRDefault="00587D32" w:rsidP="00FD588D">
      <w:pPr>
        <w:spacing w:line="360" w:lineRule="auto"/>
        <w:ind w:firstLine="709"/>
        <w:jc w:val="both"/>
        <w:rPr>
          <w:rFonts w:ascii="Times New Roman" w:hAnsi="Times New Roman"/>
          <w:i/>
          <w:color w:val="FF0000"/>
          <w:sz w:val="28"/>
          <w:szCs w:val="28"/>
        </w:rPr>
      </w:pPr>
      <w:r w:rsidRPr="001206B2">
        <w:rPr>
          <w:rFonts w:ascii="Times New Roman" w:hAnsi="Times New Roman"/>
          <w:sz w:val="28"/>
          <w:szCs w:val="28"/>
        </w:rPr>
        <w:t>Еще одной проблемой является недостаточность опыта цифровой трансформации и стандартизированных программ цифрового развития</w:t>
      </w:r>
    </w:p>
    <w:p w14:paraId="3B919E35" w14:textId="30720A56" w:rsidR="001206B2" w:rsidRPr="00DD6667" w:rsidRDefault="001206B2" w:rsidP="00FD588D">
      <w:pPr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DD6667">
        <w:rPr>
          <w:rFonts w:ascii="Times New Roman" w:hAnsi="Times New Roman"/>
          <w:i/>
          <w:color w:val="000000" w:themeColor="text1"/>
          <w:sz w:val="28"/>
          <w:szCs w:val="28"/>
        </w:rPr>
        <w:t>Слайд 9 Заключение</w:t>
      </w:r>
    </w:p>
    <w:p w14:paraId="7880402E" w14:textId="77777777" w:rsidR="001206B2" w:rsidRPr="00DD6667" w:rsidRDefault="001206B2" w:rsidP="001206B2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DD66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Цифровая эра требует не только новых умений от выпускников школ и вузов, но и другого подхода к организации самого обучения.</w:t>
      </w:r>
    </w:p>
    <w:p w14:paraId="0D6D11C4" w14:textId="0BF342A9" w:rsidR="001206B2" w:rsidRPr="00DD6667" w:rsidRDefault="001206B2" w:rsidP="00FD588D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DD666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 Развитие материальной инфраструктуры. </w:t>
      </w:r>
    </w:p>
    <w:p w14:paraId="1BA1269C" w14:textId="54D799F7" w:rsidR="001206B2" w:rsidRPr="001206B2" w:rsidRDefault="001206B2" w:rsidP="00FD588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 </w:t>
      </w:r>
      <w:r w:rsidRPr="001206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Внедрение цифровых программ. Другими словами, создание, тестирование и применение учебно-методических материалов с использованием технологий машинного обучения, искусственного интеллекта и так далее.</w:t>
      </w:r>
    </w:p>
    <w:p w14:paraId="08F47AF5" w14:textId="57800C36" w:rsidR="001206B2" w:rsidRPr="001206B2" w:rsidRDefault="001206B2" w:rsidP="00FD588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</w:t>
      </w:r>
      <w:r w:rsidRPr="001206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онлайн-обучения. Постепенный отказ от бумажных носителей информации.</w:t>
      </w:r>
    </w:p>
    <w:p w14:paraId="76A125D1" w14:textId="77777777" w:rsidR="001206B2" w:rsidRDefault="001206B2" w:rsidP="00FD588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 </w:t>
      </w:r>
      <w:r w:rsidRPr="001206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Разработка новых систем управления обучением (СУО). В дистанционном образовании СУО называются программы по администрированию и контролю учебных курсов. </w:t>
      </w:r>
    </w:p>
    <w:p w14:paraId="5FF0BD62" w14:textId="77777777" w:rsidR="001206B2" w:rsidRDefault="001206B2" w:rsidP="00FD588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 </w:t>
      </w:r>
      <w:r w:rsidRPr="001206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Повышение навыков преподавателей в сфере цифровых технологий.</w:t>
      </w:r>
    </w:p>
    <w:p w14:paraId="21DBB2DB" w14:textId="77777777" w:rsidR="001206B2" w:rsidRDefault="001206B2" w:rsidP="00FD588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sectPr w:rsidR="001206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3D0E9" w14:textId="77777777" w:rsidR="00D2703F" w:rsidRDefault="00D2703F" w:rsidP="001206B2">
      <w:r>
        <w:separator/>
      </w:r>
    </w:p>
  </w:endnote>
  <w:endnote w:type="continuationSeparator" w:id="0">
    <w:p w14:paraId="10E7DE32" w14:textId="77777777" w:rsidR="00D2703F" w:rsidRDefault="00D2703F" w:rsidP="0012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7B8D7" w14:textId="77777777" w:rsidR="001206B2" w:rsidRDefault="001206B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821788"/>
      <w:docPartObj>
        <w:docPartGallery w:val="Page Numbers (Bottom of Page)"/>
        <w:docPartUnique/>
      </w:docPartObj>
    </w:sdtPr>
    <w:sdtEndPr/>
    <w:sdtContent>
      <w:p w14:paraId="5BA09876" w14:textId="05E62FE1" w:rsidR="001206B2" w:rsidRDefault="001206B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667">
          <w:rPr>
            <w:noProof/>
          </w:rPr>
          <w:t>2</w:t>
        </w:r>
        <w:r>
          <w:fldChar w:fldCharType="end"/>
        </w:r>
      </w:p>
    </w:sdtContent>
  </w:sdt>
  <w:p w14:paraId="07D29E6E" w14:textId="77777777" w:rsidR="001206B2" w:rsidRDefault="001206B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6BD7F" w14:textId="77777777" w:rsidR="001206B2" w:rsidRDefault="001206B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3A2A9" w14:textId="77777777" w:rsidR="00D2703F" w:rsidRDefault="00D2703F" w:rsidP="001206B2">
      <w:r>
        <w:separator/>
      </w:r>
    </w:p>
  </w:footnote>
  <w:footnote w:type="continuationSeparator" w:id="0">
    <w:p w14:paraId="5FBA2D05" w14:textId="77777777" w:rsidR="00D2703F" w:rsidRDefault="00D2703F" w:rsidP="00120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F674E" w14:textId="77777777" w:rsidR="001206B2" w:rsidRDefault="001206B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D89C8" w14:textId="77777777" w:rsidR="001206B2" w:rsidRDefault="001206B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7ACE0" w14:textId="77777777" w:rsidR="001206B2" w:rsidRDefault="001206B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E1FBB"/>
    <w:multiLevelType w:val="hybridMultilevel"/>
    <w:tmpl w:val="335E19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D66C98"/>
    <w:multiLevelType w:val="hybridMultilevel"/>
    <w:tmpl w:val="AB1491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6045CA"/>
    <w:multiLevelType w:val="hybridMultilevel"/>
    <w:tmpl w:val="07C67B3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E25285"/>
    <w:multiLevelType w:val="hybridMultilevel"/>
    <w:tmpl w:val="E382A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178DD"/>
    <w:multiLevelType w:val="hybridMultilevel"/>
    <w:tmpl w:val="1B8E76C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BEF058A"/>
    <w:multiLevelType w:val="hybridMultilevel"/>
    <w:tmpl w:val="44749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5BA7738"/>
    <w:multiLevelType w:val="hybridMultilevel"/>
    <w:tmpl w:val="F27ABEFE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5E4833D9"/>
    <w:multiLevelType w:val="hybridMultilevel"/>
    <w:tmpl w:val="CBF65494"/>
    <w:lvl w:ilvl="0" w:tplc="347826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4706B6"/>
    <w:multiLevelType w:val="hybridMultilevel"/>
    <w:tmpl w:val="3F3A228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D9058F7"/>
    <w:multiLevelType w:val="hybridMultilevel"/>
    <w:tmpl w:val="84704B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BE"/>
    <w:rsid w:val="001206B2"/>
    <w:rsid w:val="002A3335"/>
    <w:rsid w:val="003335F6"/>
    <w:rsid w:val="003A66BB"/>
    <w:rsid w:val="00424C50"/>
    <w:rsid w:val="00535FDC"/>
    <w:rsid w:val="00587D32"/>
    <w:rsid w:val="005A3BBE"/>
    <w:rsid w:val="005F754D"/>
    <w:rsid w:val="00D072E0"/>
    <w:rsid w:val="00D2703F"/>
    <w:rsid w:val="00D42560"/>
    <w:rsid w:val="00DD6667"/>
    <w:rsid w:val="00DF773E"/>
    <w:rsid w:val="00E17381"/>
    <w:rsid w:val="00FD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EA29D"/>
  <w15:chartTrackingRefBased/>
  <w15:docId w15:val="{C607E746-1F99-412F-803E-A89508FA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FDC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uiPriority w:val="9"/>
    <w:qFormat/>
    <w:rsid w:val="00535FDC"/>
    <w:pPr>
      <w:ind w:firstLine="0"/>
      <w:jc w:val="center"/>
      <w:outlineLvl w:val="0"/>
    </w:pPr>
    <w:rPr>
      <w:b w:val="0"/>
      <w:bCs w:val="0"/>
    </w:rPr>
  </w:style>
  <w:style w:type="paragraph" w:styleId="2">
    <w:name w:val="heading 2"/>
    <w:basedOn w:val="a0"/>
    <w:next w:val="a"/>
    <w:link w:val="20"/>
    <w:uiPriority w:val="9"/>
    <w:semiHidden/>
    <w:unhideWhenUsed/>
    <w:qFormat/>
    <w:rsid w:val="00535FDC"/>
    <w:pPr>
      <w:ind w:firstLine="709"/>
      <w:outlineLvl w:val="1"/>
    </w:pPr>
    <w:rPr>
      <w:rFonts w:eastAsia="Times New Roman"/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Абзац списка Знак"/>
    <w:aliases w:val="Заголовок_3 Знак,Подпись рисунка Знак,ПКФ Список Знак,Абзац списка5 Знак,асз.Списка Знак,Список нумерованный цифры Знак,Абзац списка2 Знак,Абзац нумерованного списка Знак,ТЗОТ Текст 2 уровня. Без оглавления Знак,Table-Normal Знак"/>
    <w:link w:val="a5"/>
    <w:uiPriority w:val="34"/>
    <w:locked/>
    <w:rsid w:val="00535FDC"/>
    <w:rPr>
      <w:rFonts w:ascii="Times New Roman" w:hAnsi="Times New Roman" w:cs="Times New Roman"/>
      <w:sz w:val="28"/>
    </w:rPr>
  </w:style>
  <w:style w:type="paragraph" w:styleId="a5">
    <w:name w:val="List Paragraph"/>
    <w:aliases w:val="Заголовок_3,Подпись рисунка,ПКФ Список,Абзац списка5,асз.Списка,Список нумерованный цифры,Абзац списка2,Абзац нумерованного списка,ТЗОТ Текст 2 уровня. Без оглавления,Table-Normal,RSHB_Table-Normal,Num Bullet 1,lp1,Содержание. 2 уровень"/>
    <w:basedOn w:val="a"/>
    <w:link w:val="a4"/>
    <w:uiPriority w:val="34"/>
    <w:qFormat/>
    <w:rsid w:val="00535FDC"/>
    <w:pPr>
      <w:spacing w:after="160" w:line="256" w:lineRule="auto"/>
      <w:ind w:left="720"/>
      <w:contextualSpacing/>
      <w:jc w:val="both"/>
    </w:pPr>
    <w:rPr>
      <w:rFonts w:ascii="Times New Roman" w:eastAsiaTheme="minorHAnsi" w:hAnsi="Times New Roman"/>
      <w:sz w:val="28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535FD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35FDC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table" w:styleId="a6">
    <w:name w:val="Table Grid"/>
    <w:basedOn w:val="a2"/>
    <w:uiPriority w:val="39"/>
    <w:rsid w:val="00535F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rmal (Web)"/>
    <w:basedOn w:val="a"/>
    <w:uiPriority w:val="99"/>
    <w:semiHidden/>
    <w:unhideWhenUsed/>
    <w:rsid w:val="00535FDC"/>
    <w:rPr>
      <w:rFonts w:ascii="Times New Roman" w:hAnsi="Times New Roman"/>
    </w:rPr>
  </w:style>
  <w:style w:type="character" w:styleId="a7">
    <w:name w:val="Hyperlink"/>
    <w:basedOn w:val="a1"/>
    <w:uiPriority w:val="99"/>
    <w:unhideWhenUsed/>
    <w:rsid w:val="00FD588D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FD588D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1206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1206B2"/>
    <w:rPr>
      <w:rFonts w:ascii="Cambria" w:eastAsia="MS Mincho" w:hAnsi="Cambria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206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1206B2"/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d"/>
    <w:locked/>
    <w:rsid w:val="00D072E0"/>
    <w:rPr>
      <w:rFonts w:ascii="Calibri" w:eastAsia="Calibri" w:hAnsi="Calibri" w:cs="Times New Roman"/>
    </w:rPr>
  </w:style>
  <w:style w:type="paragraph" w:styleId="ad">
    <w:name w:val="No Spacing"/>
    <w:link w:val="ac"/>
    <w:qFormat/>
    <w:rsid w:val="00D072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3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.ru/20210106/postuplenie-1592139594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rg.ru/2021/01/12/v-2021-godu-rynok-onlajn-obrazovaniia-v-rossii-prodolzhit-vzryvnoj-rost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Eлена</cp:lastModifiedBy>
  <cp:revision>5</cp:revision>
  <dcterms:created xsi:type="dcterms:W3CDTF">2021-11-27T06:59:00Z</dcterms:created>
  <dcterms:modified xsi:type="dcterms:W3CDTF">2021-12-03T04:03:00Z</dcterms:modified>
</cp:coreProperties>
</file>