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CDC" w:rsidRDefault="001D4CDC" w:rsidP="001D4CDC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Селезнева Елена Евгеньевна, магистрант,</w:t>
      </w:r>
    </w:p>
    <w:p w:rsidR="001D4CDC" w:rsidRDefault="001D4CDC" w:rsidP="001D4CDC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Цеунов</w:t>
      </w:r>
      <w:proofErr w:type="spellEnd"/>
      <w:r>
        <w:rPr>
          <w:sz w:val="28"/>
          <w:szCs w:val="28"/>
        </w:rPr>
        <w:t xml:space="preserve"> Константин Сергеевич, </w:t>
      </w:r>
      <w:proofErr w:type="spellStart"/>
      <w:r>
        <w:rPr>
          <w:sz w:val="28"/>
          <w:szCs w:val="28"/>
        </w:rPr>
        <w:t>к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ед.н</w:t>
      </w:r>
      <w:proofErr w:type="spellEnd"/>
      <w:r>
        <w:rPr>
          <w:sz w:val="28"/>
          <w:szCs w:val="28"/>
        </w:rPr>
        <w:t>., доцент</w:t>
      </w:r>
    </w:p>
    <w:p w:rsidR="001D4CDC" w:rsidRDefault="001D4CDC" w:rsidP="00A4181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EF6CC6" w:rsidRPr="00EF6CC6" w:rsidRDefault="00D76D92" w:rsidP="00A4181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Н</w:t>
      </w:r>
      <w:r w:rsidRPr="00EF6CC6">
        <w:rPr>
          <w:sz w:val="28"/>
          <w:szCs w:val="28"/>
        </w:rPr>
        <w:t xml:space="preserve">ОРМАТИВНОЕ РЕГУЛИРОВАНИЕ </w:t>
      </w:r>
      <w:r>
        <w:rPr>
          <w:sz w:val="28"/>
          <w:szCs w:val="28"/>
        </w:rPr>
        <w:t>ФИНАНСОВО-ЭКОНОМИЧЕСКИХ ПОКАЗАТЕЛЕЙ КРЕДИТНОГО КООПЕРАТИВА КАК ЭЛЕМЕНТ СТРАТЕГИЧЕСКОГО ФИНАНСОВОГО ПЛАНИРОВАНИЯ</w:t>
      </w:r>
    </w:p>
    <w:p w:rsidR="002765E2" w:rsidRDefault="002765E2" w:rsidP="00EF6CC6">
      <w:pPr>
        <w:jc w:val="both"/>
        <w:rPr>
          <w:sz w:val="28"/>
          <w:szCs w:val="28"/>
        </w:rPr>
      </w:pPr>
    </w:p>
    <w:p w:rsidR="006F3F70" w:rsidRPr="002F03CB" w:rsidRDefault="002F03CB" w:rsidP="002F03C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93A67">
        <w:rPr>
          <w:sz w:val="28"/>
          <w:szCs w:val="28"/>
        </w:rPr>
        <w:t xml:space="preserve">Стратегическое финансовое планирование является неотъемлемой частью деятельности современных предприятий в современных условиях осуществления экономической деятельности. Конкуренция на рынке товаров и услуг, значительное влияние факторов внешней среды косвенного воздействия, усиленной пандемией </w:t>
      </w:r>
      <w:r w:rsidR="00693A67">
        <w:rPr>
          <w:sz w:val="28"/>
          <w:szCs w:val="28"/>
          <w:lang w:val="en-US"/>
        </w:rPr>
        <w:t>COVID</w:t>
      </w:r>
      <w:r w:rsidR="00693A67">
        <w:rPr>
          <w:sz w:val="28"/>
          <w:szCs w:val="28"/>
        </w:rPr>
        <w:t>-19, все это требует пересмотра направлений бизнеса и выбора стратегий для адаптации. Особенное внимание надо уделить  таким предприятиям как к</w:t>
      </w:r>
      <w:r w:rsidR="006F3F70" w:rsidRPr="002F03CB">
        <w:rPr>
          <w:color w:val="000000"/>
          <w:sz w:val="28"/>
          <w:szCs w:val="28"/>
          <w:shd w:val="clear" w:color="auto" w:fill="FFFFFF"/>
        </w:rPr>
        <w:t>редитные кооперативы</w:t>
      </w:r>
      <w:r w:rsidR="00693A67">
        <w:rPr>
          <w:color w:val="000000"/>
          <w:sz w:val="28"/>
          <w:szCs w:val="28"/>
          <w:shd w:val="clear" w:color="auto" w:fill="FFFFFF"/>
        </w:rPr>
        <w:t>, которые</w:t>
      </w:r>
      <w:r w:rsidR="006F3F70" w:rsidRPr="002F03CB">
        <w:rPr>
          <w:color w:val="000000"/>
          <w:sz w:val="28"/>
          <w:szCs w:val="28"/>
          <w:shd w:val="clear" w:color="auto" w:fill="FFFFFF"/>
        </w:rPr>
        <w:t xml:space="preserve"> в финансовой системе страны занимают обособленное место,</w:t>
      </w:r>
      <w:r w:rsidR="006F3F70" w:rsidRPr="002F03CB">
        <w:rPr>
          <w:color w:val="000000"/>
          <w:sz w:val="28"/>
          <w:szCs w:val="28"/>
        </w:rPr>
        <w:t xml:space="preserve"> </w:t>
      </w:r>
      <w:r w:rsidR="006F3F70" w:rsidRPr="002F03CB">
        <w:rPr>
          <w:color w:val="000000"/>
          <w:sz w:val="28"/>
          <w:szCs w:val="28"/>
          <w:shd w:val="clear" w:color="auto" w:fill="FFFFFF"/>
        </w:rPr>
        <w:t>так как они удовлетворяют финансовые потребности ограниченного круга лиц.</w:t>
      </w:r>
      <w:r w:rsidR="006F3F70" w:rsidRPr="002F03CB">
        <w:rPr>
          <w:sz w:val="28"/>
          <w:szCs w:val="28"/>
        </w:rPr>
        <w:t xml:space="preserve"> </w:t>
      </w:r>
    </w:p>
    <w:p w:rsidR="007B4496" w:rsidRPr="002F03CB" w:rsidRDefault="002765E2" w:rsidP="002F03CB">
      <w:pPr>
        <w:spacing w:line="360" w:lineRule="auto"/>
        <w:ind w:firstLine="709"/>
        <w:jc w:val="both"/>
        <w:rPr>
          <w:sz w:val="28"/>
          <w:szCs w:val="28"/>
        </w:rPr>
      </w:pPr>
      <w:r w:rsidRPr="002F03CB">
        <w:rPr>
          <w:sz w:val="28"/>
          <w:szCs w:val="28"/>
        </w:rPr>
        <w:t>Положениями п.4. статьи 6 Федерального закона РФ от 18 июля 2009г. № 190-ФЗ  “О кредитной кооперации” закрепля</w:t>
      </w:r>
      <w:r w:rsidR="00816E52" w:rsidRPr="002F03CB">
        <w:rPr>
          <w:sz w:val="28"/>
          <w:szCs w:val="28"/>
        </w:rPr>
        <w:t>е</w:t>
      </w:r>
      <w:r w:rsidRPr="002F03CB">
        <w:rPr>
          <w:sz w:val="28"/>
          <w:szCs w:val="28"/>
        </w:rPr>
        <w:t>тся</w:t>
      </w:r>
      <w:r w:rsidR="00816E52" w:rsidRPr="002F03CB">
        <w:rPr>
          <w:sz w:val="28"/>
          <w:szCs w:val="28"/>
        </w:rPr>
        <w:t xml:space="preserve"> порядок</w:t>
      </w:r>
      <w:r w:rsidRPr="002F03CB">
        <w:rPr>
          <w:sz w:val="28"/>
          <w:szCs w:val="28"/>
        </w:rPr>
        <w:t xml:space="preserve"> финансов</w:t>
      </w:r>
      <w:r w:rsidR="00816E52" w:rsidRPr="002F03CB">
        <w:rPr>
          <w:sz w:val="28"/>
          <w:szCs w:val="28"/>
        </w:rPr>
        <w:t>ого</w:t>
      </w:r>
      <w:r w:rsidRPr="002F03CB">
        <w:rPr>
          <w:sz w:val="28"/>
          <w:szCs w:val="28"/>
        </w:rPr>
        <w:t xml:space="preserve"> норм</w:t>
      </w:r>
      <w:r w:rsidR="002C4EC4" w:rsidRPr="002F03CB">
        <w:rPr>
          <w:sz w:val="28"/>
          <w:szCs w:val="28"/>
        </w:rPr>
        <w:t>ирования</w:t>
      </w:r>
      <w:r w:rsidR="00816E52" w:rsidRPr="002F03CB">
        <w:rPr>
          <w:sz w:val="28"/>
          <w:szCs w:val="28"/>
        </w:rPr>
        <w:t xml:space="preserve">  балансовых</w:t>
      </w:r>
      <w:r w:rsidRPr="002F03CB">
        <w:rPr>
          <w:sz w:val="28"/>
          <w:szCs w:val="28"/>
        </w:rPr>
        <w:t xml:space="preserve"> показателей кредитного кооп</w:t>
      </w:r>
      <w:r w:rsidR="00816E52" w:rsidRPr="002F03CB">
        <w:rPr>
          <w:sz w:val="28"/>
          <w:szCs w:val="28"/>
        </w:rPr>
        <w:t>е</w:t>
      </w:r>
      <w:r w:rsidRPr="002F03CB">
        <w:rPr>
          <w:sz w:val="28"/>
          <w:szCs w:val="28"/>
        </w:rPr>
        <w:t>р</w:t>
      </w:r>
      <w:r w:rsidR="00816E52" w:rsidRPr="002F03CB">
        <w:rPr>
          <w:sz w:val="28"/>
          <w:szCs w:val="28"/>
        </w:rPr>
        <w:t>а</w:t>
      </w:r>
      <w:r w:rsidRPr="002F03CB">
        <w:rPr>
          <w:sz w:val="28"/>
          <w:szCs w:val="28"/>
        </w:rPr>
        <w:t>тива</w:t>
      </w:r>
      <w:r w:rsidR="002C4EC4" w:rsidRPr="002F03CB">
        <w:rPr>
          <w:sz w:val="28"/>
          <w:szCs w:val="28"/>
        </w:rPr>
        <w:t>, таких как</w:t>
      </w:r>
      <w:r w:rsidRPr="002F03CB">
        <w:rPr>
          <w:sz w:val="28"/>
          <w:szCs w:val="28"/>
        </w:rPr>
        <w:t>:</w:t>
      </w:r>
      <w:bookmarkStart w:id="0" w:name="246d7"/>
      <w:bookmarkEnd w:id="0"/>
    </w:p>
    <w:p w:rsidR="007B4496" w:rsidRPr="002F03CB" w:rsidRDefault="002765E2" w:rsidP="002F03CB">
      <w:pPr>
        <w:spacing w:line="360" w:lineRule="auto"/>
        <w:ind w:firstLine="709"/>
        <w:jc w:val="both"/>
        <w:rPr>
          <w:sz w:val="28"/>
          <w:szCs w:val="28"/>
        </w:rPr>
      </w:pPr>
      <w:r w:rsidRPr="002F03CB">
        <w:rPr>
          <w:sz w:val="28"/>
          <w:szCs w:val="28"/>
        </w:rPr>
        <w:t>1) величин</w:t>
      </w:r>
      <w:r w:rsidR="00816E52" w:rsidRPr="002F03CB">
        <w:rPr>
          <w:sz w:val="28"/>
          <w:szCs w:val="28"/>
        </w:rPr>
        <w:t>ы</w:t>
      </w:r>
      <w:r w:rsidRPr="002F03CB">
        <w:rPr>
          <w:sz w:val="28"/>
          <w:szCs w:val="28"/>
        </w:rPr>
        <w:t xml:space="preserve"> резервного фонда; </w:t>
      </w:r>
      <w:bookmarkStart w:id="1" w:name="7c901"/>
      <w:bookmarkEnd w:id="1"/>
    </w:p>
    <w:p w:rsidR="007B4496" w:rsidRPr="002F03CB" w:rsidRDefault="002765E2" w:rsidP="002F03CB">
      <w:pPr>
        <w:spacing w:line="360" w:lineRule="auto"/>
        <w:ind w:firstLine="709"/>
        <w:jc w:val="both"/>
        <w:rPr>
          <w:sz w:val="28"/>
          <w:szCs w:val="28"/>
        </w:rPr>
      </w:pPr>
      <w:r w:rsidRPr="002F03CB">
        <w:rPr>
          <w:sz w:val="28"/>
          <w:szCs w:val="28"/>
        </w:rPr>
        <w:t>2) максимальн</w:t>
      </w:r>
      <w:r w:rsidR="00816E52" w:rsidRPr="002F03CB">
        <w:rPr>
          <w:sz w:val="28"/>
          <w:szCs w:val="28"/>
        </w:rPr>
        <w:t>ой</w:t>
      </w:r>
      <w:r w:rsidRPr="002F03CB">
        <w:rPr>
          <w:sz w:val="28"/>
          <w:szCs w:val="28"/>
        </w:rPr>
        <w:t xml:space="preserve"> сумм</w:t>
      </w:r>
      <w:r w:rsidR="00816E52" w:rsidRPr="002F03CB">
        <w:rPr>
          <w:sz w:val="28"/>
          <w:szCs w:val="28"/>
        </w:rPr>
        <w:t>ы</w:t>
      </w:r>
      <w:r w:rsidRPr="002F03CB">
        <w:rPr>
          <w:sz w:val="28"/>
          <w:szCs w:val="28"/>
        </w:rPr>
        <w:t xml:space="preserve"> денежных средств, привлеченных от одного члена кредитного кооператива (пайщика) или от нескольких членов кредитного кооператива (пайщиков), являющихся </w:t>
      </w:r>
      <w:bookmarkStart w:id="2" w:name="0ab0e"/>
      <w:bookmarkEnd w:id="2"/>
      <w:r w:rsidRPr="002F03CB">
        <w:rPr>
          <w:sz w:val="28"/>
          <w:szCs w:val="28"/>
        </w:rPr>
        <w:t xml:space="preserve">аффилированными лицами; </w:t>
      </w:r>
      <w:bookmarkStart w:id="3" w:name="90985"/>
      <w:bookmarkEnd w:id="3"/>
    </w:p>
    <w:p w:rsidR="007B4496" w:rsidRPr="002F03CB" w:rsidRDefault="002765E2" w:rsidP="002F03CB">
      <w:pPr>
        <w:spacing w:line="360" w:lineRule="auto"/>
        <w:ind w:firstLine="709"/>
        <w:jc w:val="both"/>
        <w:rPr>
          <w:sz w:val="28"/>
          <w:szCs w:val="28"/>
        </w:rPr>
      </w:pPr>
      <w:r w:rsidRPr="002F03CB">
        <w:rPr>
          <w:sz w:val="28"/>
          <w:szCs w:val="28"/>
        </w:rPr>
        <w:t>3) максимальн</w:t>
      </w:r>
      <w:r w:rsidR="00816E52" w:rsidRPr="002F03CB">
        <w:rPr>
          <w:sz w:val="28"/>
          <w:szCs w:val="28"/>
        </w:rPr>
        <w:t>ой</w:t>
      </w:r>
      <w:r w:rsidRPr="002F03CB">
        <w:rPr>
          <w:sz w:val="28"/>
          <w:szCs w:val="28"/>
        </w:rPr>
        <w:t xml:space="preserve"> сумм</w:t>
      </w:r>
      <w:r w:rsidR="00816E52" w:rsidRPr="002F03CB">
        <w:rPr>
          <w:sz w:val="28"/>
          <w:szCs w:val="28"/>
        </w:rPr>
        <w:t>ы</w:t>
      </w:r>
      <w:r w:rsidRPr="002F03CB">
        <w:rPr>
          <w:sz w:val="28"/>
          <w:szCs w:val="28"/>
        </w:rPr>
        <w:t xml:space="preserve"> займа, предоставляемого одному члену кредитного кооператива (пайщику); </w:t>
      </w:r>
    </w:p>
    <w:p w:rsidR="007B4496" w:rsidRPr="002F03CB" w:rsidRDefault="002765E2" w:rsidP="002F03CB">
      <w:pPr>
        <w:spacing w:line="360" w:lineRule="auto"/>
        <w:ind w:firstLine="709"/>
        <w:jc w:val="both"/>
        <w:rPr>
          <w:sz w:val="28"/>
          <w:szCs w:val="28"/>
        </w:rPr>
      </w:pPr>
      <w:r w:rsidRPr="002F03CB">
        <w:rPr>
          <w:sz w:val="28"/>
          <w:szCs w:val="28"/>
        </w:rPr>
        <w:t>4) максимальн</w:t>
      </w:r>
      <w:r w:rsidR="00816E52" w:rsidRPr="002F03CB">
        <w:rPr>
          <w:sz w:val="28"/>
          <w:szCs w:val="28"/>
        </w:rPr>
        <w:t>ой</w:t>
      </w:r>
      <w:r w:rsidRPr="002F03CB">
        <w:rPr>
          <w:sz w:val="28"/>
          <w:szCs w:val="28"/>
        </w:rPr>
        <w:t xml:space="preserve"> сумм</w:t>
      </w:r>
      <w:r w:rsidR="00816E52" w:rsidRPr="002F03CB">
        <w:rPr>
          <w:sz w:val="28"/>
          <w:szCs w:val="28"/>
        </w:rPr>
        <w:t>ы</w:t>
      </w:r>
      <w:r w:rsidRPr="002F03CB">
        <w:rPr>
          <w:sz w:val="28"/>
          <w:szCs w:val="28"/>
        </w:rPr>
        <w:t xml:space="preserve"> займа, предоставляемого нескольким членам кредитного кооператива (пайщикам), являющимся аффилированными лицами; </w:t>
      </w:r>
      <w:bookmarkStart w:id="4" w:name="39287"/>
      <w:bookmarkEnd w:id="4"/>
    </w:p>
    <w:p w:rsidR="007B4496" w:rsidRPr="002F03CB" w:rsidRDefault="002765E2" w:rsidP="002F03CB">
      <w:pPr>
        <w:spacing w:line="360" w:lineRule="auto"/>
        <w:ind w:firstLine="709"/>
        <w:jc w:val="both"/>
        <w:rPr>
          <w:sz w:val="28"/>
          <w:szCs w:val="28"/>
        </w:rPr>
      </w:pPr>
      <w:r w:rsidRPr="002F03CB">
        <w:rPr>
          <w:sz w:val="28"/>
          <w:szCs w:val="28"/>
        </w:rPr>
        <w:t>5) минимальн</w:t>
      </w:r>
      <w:r w:rsidR="00816E52" w:rsidRPr="002F03CB">
        <w:rPr>
          <w:sz w:val="28"/>
          <w:szCs w:val="28"/>
        </w:rPr>
        <w:t>ой</w:t>
      </w:r>
      <w:r w:rsidRPr="002F03CB">
        <w:rPr>
          <w:sz w:val="28"/>
          <w:szCs w:val="28"/>
        </w:rPr>
        <w:t xml:space="preserve"> величин</w:t>
      </w:r>
      <w:r w:rsidR="00816E52" w:rsidRPr="002F03CB">
        <w:rPr>
          <w:sz w:val="28"/>
          <w:szCs w:val="28"/>
        </w:rPr>
        <w:t>ы</w:t>
      </w:r>
      <w:r w:rsidRPr="002F03CB">
        <w:rPr>
          <w:sz w:val="28"/>
          <w:szCs w:val="28"/>
        </w:rPr>
        <w:t xml:space="preserve"> паевог</w:t>
      </w:r>
      <w:r w:rsidR="007B4496" w:rsidRPr="002F03CB">
        <w:rPr>
          <w:sz w:val="28"/>
          <w:szCs w:val="28"/>
        </w:rPr>
        <w:t>о фонда кредитного кооператива;</w:t>
      </w:r>
    </w:p>
    <w:p w:rsidR="007B4496" w:rsidRPr="002F03CB" w:rsidRDefault="002765E2" w:rsidP="002F03CB">
      <w:pPr>
        <w:spacing w:line="360" w:lineRule="auto"/>
        <w:ind w:firstLine="709"/>
        <w:jc w:val="both"/>
        <w:rPr>
          <w:sz w:val="28"/>
          <w:szCs w:val="28"/>
        </w:rPr>
      </w:pPr>
      <w:r w:rsidRPr="002F03CB">
        <w:rPr>
          <w:sz w:val="28"/>
          <w:szCs w:val="28"/>
        </w:rPr>
        <w:t>6) максимальн</w:t>
      </w:r>
      <w:r w:rsidR="00816E52" w:rsidRPr="002F03CB">
        <w:rPr>
          <w:sz w:val="28"/>
          <w:szCs w:val="28"/>
        </w:rPr>
        <w:t>ой</w:t>
      </w:r>
      <w:r w:rsidRPr="002F03CB">
        <w:rPr>
          <w:sz w:val="28"/>
          <w:szCs w:val="28"/>
        </w:rPr>
        <w:t xml:space="preserve"> сумм</w:t>
      </w:r>
      <w:r w:rsidR="00816E52" w:rsidRPr="002F03CB">
        <w:rPr>
          <w:sz w:val="28"/>
          <w:szCs w:val="28"/>
        </w:rPr>
        <w:t>ы</w:t>
      </w:r>
      <w:r w:rsidRPr="002F03CB">
        <w:rPr>
          <w:sz w:val="28"/>
          <w:szCs w:val="28"/>
        </w:rPr>
        <w:t xml:space="preserve"> денежных средств, привлеченных кредитным кооперативом от юридических лиц, не являющихся его членами (пайщиками); </w:t>
      </w:r>
      <w:bookmarkStart w:id="5" w:name="2ff41"/>
      <w:bookmarkEnd w:id="5"/>
    </w:p>
    <w:p w:rsidR="007B4496" w:rsidRPr="002F03CB" w:rsidRDefault="002765E2" w:rsidP="002F03CB">
      <w:pPr>
        <w:spacing w:line="360" w:lineRule="auto"/>
        <w:ind w:firstLine="709"/>
        <w:jc w:val="both"/>
        <w:rPr>
          <w:sz w:val="28"/>
          <w:szCs w:val="28"/>
        </w:rPr>
      </w:pPr>
      <w:r w:rsidRPr="002F03CB">
        <w:rPr>
          <w:sz w:val="28"/>
          <w:szCs w:val="28"/>
        </w:rPr>
        <w:lastRenderedPageBreak/>
        <w:t>7) максимальн</w:t>
      </w:r>
      <w:r w:rsidR="00816E52" w:rsidRPr="002F03CB">
        <w:rPr>
          <w:sz w:val="28"/>
          <w:szCs w:val="28"/>
        </w:rPr>
        <w:t>ой</w:t>
      </w:r>
      <w:r w:rsidRPr="002F03CB">
        <w:rPr>
          <w:sz w:val="28"/>
          <w:szCs w:val="28"/>
        </w:rPr>
        <w:t xml:space="preserve"> сумм</w:t>
      </w:r>
      <w:r w:rsidR="00816E52" w:rsidRPr="002F03CB">
        <w:rPr>
          <w:sz w:val="28"/>
          <w:szCs w:val="28"/>
        </w:rPr>
        <w:t>ы</w:t>
      </w:r>
      <w:r w:rsidRPr="002F03CB">
        <w:rPr>
          <w:sz w:val="28"/>
          <w:szCs w:val="28"/>
        </w:rPr>
        <w:t xml:space="preserve"> денежных средств, направляемых в кредитные кооперативы второго уровня кредитным кооперативом, являющимся их членом; </w:t>
      </w:r>
      <w:bookmarkStart w:id="6" w:name="ad301"/>
      <w:bookmarkEnd w:id="6"/>
    </w:p>
    <w:p w:rsidR="007B4496" w:rsidRPr="002F03CB" w:rsidRDefault="002765E2" w:rsidP="002F03CB">
      <w:pPr>
        <w:spacing w:line="360" w:lineRule="auto"/>
        <w:ind w:firstLine="709"/>
        <w:jc w:val="both"/>
        <w:rPr>
          <w:sz w:val="28"/>
          <w:szCs w:val="28"/>
        </w:rPr>
      </w:pPr>
      <w:r w:rsidRPr="002F03CB">
        <w:rPr>
          <w:sz w:val="28"/>
          <w:szCs w:val="28"/>
        </w:rPr>
        <w:t>8) общ</w:t>
      </w:r>
      <w:r w:rsidR="00816E52" w:rsidRPr="002F03CB">
        <w:rPr>
          <w:sz w:val="28"/>
          <w:szCs w:val="28"/>
        </w:rPr>
        <w:t>ей</w:t>
      </w:r>
      <w:r w:rsidRPr="002F03CB">
        <w:rPr>
          <w:sz w:val="28"/>
          <w:szCs w:val="28"/>
        </w:rPr>
        <w:t xml:space="preserve"> сумм</w:t>
      </w:r>
      <w:r w:rsidR="00816E52" w:rsidRPr="002F03CB">
        <w:rPr>
          <w:sz w:val="28"/>
          <w:szCs w:val="28"/>
        </w:rPr>
        <w:t>ы</w:t>
      </w:r>
      <w:r w:rsidRPr="002F03CB">
        <w:rPr>
          <w:sz w:val="28"/>
          <w:szCs w:val="28"/>
        </w:rPr>
        <w:t xml:space="preserve"> денежных средств, направляемых кредитным кооперативом в течение отчетного периода на цели, не связанные с выдачей займов членам кредитного кооператива </w:t>
      </w:r>
      <w:bookmarkStart w:id="7" w:name="6f861"/>
      <w:bookmarkEnd w:id="7"/>
      <w:r w:rsidR="002C4EC4" w:rsidRPr="002F03CB">
        <w:rPr>
          <w:sz w:val="28"/>
          <w:szCs w:val="28"/>
        </w:rPr>
        <w:t>(пайщикам)</w:t>
      </w:r>
      <w:r w:rsidR="00DD2F8C" w:rsidRPr="002F03CB">
        <w:rPr>
          <w:sz w:val="28"/>
          <w:szCs w:val="28"/>
        </w:rPr>
        <w:t>.</w:t>
      </w:r>
    </w:p>
    <w:p w:rsidR="007B4496" w:rsidRPr="002F03CB" w:rsidRDefault="002C4EC4" w:rsidP="002F03CB">
      <w:pPr>
        <w:spacing w:line="360" w:lineRule="auto"/>
        <w:ind w:firstLine="709"/>
        <w:jc w:val="both"/>
        <w:rPr>
          <w:sz w:val="28"/>
          <w:szCs w:val="28"/>
        </w:rPr>
      </w:pPr>
      <w:r w:rsidRPr="002F03CB">
        <w:rPr>
          <w:sz w:val="28"/>
          <w:szCs w:val="28"/>
        </w:rPr>
        <w:t>Да</w:t>
      </w:r>
      <w:r w:rsidR="002765E2" w:rsidRPr="002F03CB">
        <w:rPr>
          <w:sz w:val="28"/>
          <w:szCs w:val="28"/>
        </w:rPr>
        <w:t>нные положен</w:t>
      </w:r>
      <w:r w:rsidR="00693A67">
        <w:rPr>
          <w:sz w:val="28"/>
          <w:szCs w:val="28"/>
        </w:rPr>
        <w:t xml:space="preserve">ия требуют некоторых уточнений применительно к стратегическому финансовому планированию, </w:t>
      </w:r>
      <w:r w:rsidR="002765E2" w:rsidRPr="002F03CB">
        <w:rPr>
          <w:sz w:val="28"/>
          <w:szCs w:val="28"/>
        </w:rPr>
        <w:t xml:space="preserve">что обосновывается нижеприведенными  рассуждениями  в части порядка исчисления отдельных финансовых нормативов (2,3,4 и 7). </w:t>
      </w:r>
    </w:p>
    <w:p w:rsidR="007B4496" w:rsidRPr="002F03CB" w:rsidRDefault="00693A67" w:rsidP="002F03CB">
      <w:pPr>
        <w:spacing w:line="360" w:lineRule="auto"/>
        <w:ind w:firstLine="708"/>
        <w:jc w:val="both"/>
        <w:rPr>
          <w:rStyle w:val="a4"/>
          <w:b w:val="0"/>
          <w:color w:val="auto"/>
          <w:sz w:val="28"/>
          <w:szCs w:val="28"/>
        </w:rPr>
      </w:pPr>
      <w:r>
        <w:rPr>
          <w:rStyle w:val="a4"/>
          <w:b w:val="0"/>
          <w:color w:val="auto"/>
          <w:sz w:val="28"/>
          <w:szCs w:val="28"/>
        </w:rPr>
        <w:t>Надо</w:t>
      </w:r>
      <w:r w:rsidR="002C4EC4" w:rsidRPr="002F03CB">
        <w:rPr>
          <w:rStyle w:val="a4"/>
          <w:b w:val="0"/>
          <w:color w:val="auto"/>
          <w:sz w:val="28"/>
          <w:szCs w:val="28"/>
        </w:rPr>
        <w:t xml:space="preserve"> п</w:t>
      </w:r>
      <w:r w:rsidR="002765E2" w:rsidRPr="002F03CB">
        <w:rPr>
          <w:rStyle w:val="a4"/>
          <w:b w:val="0"/>
          <w:color w:val="auto"/>
          <w:sz w:val="28"/>
          <w:szCs w:val="28"/>
        </w:rPr>
        <w:t>ринят</w:t>
      </w:r>
      <w:r w:rsidR="002C4EC4" w:rsidRPr="002F03CB">
        <w:rPr>
          <w:rStyle w:val="a4"/>
          <w:b w:val="0"/>
          <w:color w:val="auto"/>
          <w:sz w:val="28"/>
          <w:szCs w:val="28"/>
        </w:rPr>
        <w:t>ь</w:t>
      </w:r>
      <w:r w:rsidR="002765E2" w:rsidRPr="002F03CB">
        <w:rPr>
          <w:rStyle w:val="a4"/>
          <w:b w:val="0"/>
          <w:color w:val="auto"/>
          <w:sz w:val="28"/>
          <w:szCs w:val="28"/>
        </w:rPr>
        <w:t xml:space="preserve"> во внимание приведенны</w:t>
      </w:r>
      <w:r w:rsidR="002C4EC4" w:rsidRPr="002F03CB">
        <w:rPr>
          <w:rStyle w:val="a4"/>
          <w:b w:val="0"/>
          <w:color w:val="auto"/>
          <w:sz w:val="28"/>
          <w:szCs w:val="28"/>
        </w:rPr>
        <w:t>е</w:t>
      </w:r>
      <w:r w:rsidR="002765E2" w:rsidRPr="002F03CB">
        <w:rPr>
          <w:rStyle w:val="a4"/>
          <w:b w:val="0"/>
          <w:color w:val="auto"/>
          <w:sz w:val="28"/>
          <w:szCs w:val="28"/>
        </w:rPr>
        <w:t xml:space="preserve"> довод</w:t>
      </w:r>
      <w:r w:rsidR="002C4EC4" w:rsidRPr="002F03CB">
        <w:rPr>
          <w:rStyle w:val="a4"/>
          <w:b w:val="0"/>
          <w:color w:val="auto"/>
          <w:sz w:val="28"/>
          <w:szCs w:val="28"/>
        </w:rPr>
        <w:t>ы, то можно</w:t>
      </w:r>
      <w:r w:rsidR="002765E2" w:rsidRPr="002F03CB">
        <w:rPr>
          <w:rStyle w:val="a4"/>
          <w:b w:val="0"/>
          <w:color w:val="auto"/>
          <w:sz w:val="28"/>
          <w:szCs w:val="28"/>
        </w:rPr>
        <w:t xml:space="preserve">  предпол</w:t>
      </w:r>
      <w:r w:rsidR="002C4EC4" w:rsidRPr="002F03CB">
        <w:rPr>
          <w:rStyle w:val="a4"/>
          <w:b w:val="0"/>
          <w:color w:val="auto"/>
          <w:sz w:val="28"/>
          <w:szCs w:val="28"/>
        </w:rPr>
        <w:t>ожить</w:t>
      </w:r>
      <w:r w:rsidR="002765E2" w:rsidRPr="002F03CB">
        <w:rPr>
          <w:rStyle w:val="a4"/>
          <w:b w:val="0"/>
          <w:color w:val="auto"/>
          <w:sz w:val="28"/>
          <w:szCs w:val="28"/>
        </w:rPr>
        <w:t xml:space="preserve"> необходимость внесения  изменений в формулировку финансового норматива, </w:t>
      </w:r>
      <w:r w:rsidR="002C4EC4" w:rsidRPr="002F03CB">
        <w:rPr>
          <w:rStyle w:val="a4"/>
          <w:b w:val="0"/>
          <w:color w:val="auto"/>
          <w:sz w:val="28"/>
          <w:szCs w:val="28"/>
        </w:rPr>
        <w:t>и тогда, п</w:t>
      </w:r>
      <w:r w:rsidR="002765E2" w:rsidRPr="002F03CB">
        <w:rPr>
          <w:rStyle w:val="a4"/>
          <w:b w:val="0"/>
          <w:color w:val="auto"/>
          <w:sz w:val="28"/>
          <w:szCs w:val="28"/>
        </w:rPr>
        <w:t>редложенные изменения предполагают:</w:t>
      </w:r>
    </w:p>
    <w:p w:rsidR="007B4496" w:rsidRPr="002F03CB" w:rsidRDefault="005C5692" w:rsidP="002F03CB">
      <w:pPr>
        <w:spacing w:line="360" w:lineRule="auto"/>
        <w:ind w:firstLine="709"/>
        <w:jc w:val="both"/>
        <w:rPr>
          <w:rStyle w:val="a4"/>
          <w:b w:val="0"/>
          <w:color w:val="auto"/>
          <w:sz w:val="28"/>
          <w:szCs w:val="28"/>
        </w:rPr>
      </w:pPr>
      <w:r w:rsidRPr="002F03CB">
        <w:rPr>
          <w:rStyle w:val="a4"/>
          <w:b w:val="0"/>
          <w:color w:val="auto"/>
          <w:sz w:val="28"/>
          <w:szCs w:val="28"/>
        </w:rPr>
        <w:t xml:space="preserve">1) </w:t>
      </w:r>
      <w:r w:rsidR="002765E2" w:rsidRPr="002F03CB">
        <w:rPr>
          <w:rStyle w:val="a4"/>
          <w:b w:val="0"/>
          <w:color w:val="auto"/>
          <w:sz w:val="28"/>
          <w:szCs w:val="28"/>
        </w:rPr>
        <w:t xml:space="preserve">исчисление суммы привлеченных денежных средств от одного члена кредитного кооператива (пайщика) или от нескольких членов кредитного кооператива (пайщиков), являющихся </w:t>
      </w:r>
      <w:hyperlink w:anchor="sub_10320" w:history="1">
        <w:r w:rsidR="002765E2" w:rsidRPr="002F03CB">
          <w:rPr>
            <w:rStyle w:val="a4"/>
            <w:b w:val="0"/>
            <w:color w:val="auto"/>
            <w:sz w:val="28"/>
            <w:szCs w:val="28"/>
          </w:rPr>
          <w:t>аффилированными лицами</w:t>
        </w:r>
      </w:hyperlink>
      <w:r w:rsidR="002765E2" w:rsidRPr="002F03CB">
        <w:rPr>
          <w:rStyle w:val="a4"/>
          <w:b w:val="0"/>
          <w:color w:val="auto"/>
          <w:sz w:val="28"/>
          <w:szCs w:val="28"/>
        </w:rPr>
        <w:t>, нарастающим итогом;</w:t>
      </w:r>
    </w:p>
    <w:p w:rsidR="007B4496" w:rsidRPr="002F03CB" w:rsidRDefault="005C5692" w:rsidP="002F03CB">
      <w:pPr>
        <w:spacing w:line="360" w:lineRule="auto"/>
        <w:ind w:firstLine="709"/>
        <w:jc w:val="both"/>
        <w:rPr>
          <w:rStyle w:val="a4"/>
          <w:b w:val="0"/>
          <w:color w:val="auto"/>
          <w:sz w:val="28"/>
          <w:szCs w:val="28"/>
        </w:rPr>
      </w:pPr>
      <w:r w:rsidRPr="002F03CB">
        <w:rPr>
          <w:rStyle w:val="a4"/>
          <w:b w:val="0"/>
          <w:color w:val="auto"/>
          <w:sz w:val="28"/>
          <w:szCs w:val="28"/>
        </w:rPr>
        <w:t xml:space="preserve">2) </w:t>
      </w:r>
      <w:r w:rsidR="002765E2" w:rsidRPr="002F03CB">
        <w:rPr>
          <w:rStyle w:val="a4"/>
          <w:b w:val="0"/>
          <w:color w:val="auto"/>
          <w:sz w:val="28"/>
          <w:szCs w:val="28"/>
        </w:rPr>
        <w:t xml:space="preserve">нормирование доли суммы привлеченных денежных средств от одного члена кредитного кооператива (пайщика) или от нескольких членов кредитного кооператива (пайщиков), являющихся </w:t>
      </w:r>
      <w:hyperlink w:anchor="sub_10320" w:history="1">
        <w:r w:rsidR="002765E2" w:rsidRPr="002F03CB">
          <w:rPr>
            <w:rStyle w:val="a4"/>
            <w:b w:val="0"/>
            <w:color w:val="auto"/>
            <w:sz w:val="28"/>
            <w:szCs w:val="28"/>
          </w:rPr>
          <w:t>аффилированными лицами</w:t>
        </w:r>
      </w:hyperlink>
      <w:r w:rsidR="002765E2" w:rsidRPr="002F03CB">
        <w:rPr>
          <w:rStyle w:val="a4"/>
          <w:b w:val="0"/>
          <w:color w:val="auto"/>
          <w:sz w:val="28"/>
          <w:szCs w:val="28"/>
        </w:rPr>
        <w:t>, рассчитанной нарастающим итогом в общей сумме привлеченных денежных средств;</w:t>
      </w:r>
    </w:p>
    <w:p w:rsidR="007B4496" w:rsidRPr="002F03CB" w:rsidRDefault="005C5692" w:rsidP="002F03CB">
      <w:pPr>
        <w:spacing w:line="360" w:lineRule="auto"/>
        <w:ind w:firstLine="709"/>
        <w:jc w:val="both"/>
        <w:rPr>
          <w:rStyle w:val="a4"/>
          <w:b w:val="0"/>
          <w:color w:val="auto"/>
          <w:sz w:val="28"/>
          <w:szCs w:val="28"/>
        </w:rPr>
      </w:pPr>
      <w:r w:rsidRPr="002F03CB">
        <w:rPr>
          <w:rStyle w:val="a4"/>
          <w:b w:val="0"/>
          <w:color w:val="auto"/>
          <w:sz w:val="28"/>
          <w:szCs w:val="28"/>
        </w:rPr>
        <w:t xml:space="preserve">3) </w:t>
      </w:r>
      <w:r w:rsidR="002765E2" w:rsidRPr="002F03CB">
        <w:rPr>
          <w:rStyle w:val="a4"/>
          <w:b w:val="0"/>
          <w:color w:val="auto"/>
          <w:sz w:val="28"/>
          <w:szCs w:val="28"/>
        </w:rPr>
        <w:t>целесообразность проведения мониторинга в части соблюдения данного финансового норматива на начало четвертого квартала и на  конец отчетного периода по данным финансовой (бухгалтерской) отчетности.</w:t>
      </w:r>
    </w:p>
    <w:p w:rsidR="007B4496" w:rsidRPr="002F03CB" w:rsidRDefault="002765E2" w:rsidP="002F03CB">
      <w:pPr>
        <w:spacing w:line="360" w:lineRule="auto"/>
        <w:ind w:firstLine="709"/>
        <w:jc w:val="both"/>
        <w:rPr>
          <w:rStyle w:val="a4"/>
          <w:b w:val="0"/>
          <w:color w:val="auto"/>
          <w:sz w:val="28"/>
          <w:szCs w:val="28"/>
        </w:rPr>
      </w:pPr>
      <w:r w:rsidRPr="002F03CB">
        <w:rPr>
          <w:rStyle w:val="a4"/>
          <w:b w:val="0"/>
          <w:color w:val="auto"/>
          <w:sz w:val="28"/>
          <w:szCs w:val="28"/>
        </w:rPr>
        <w:t>Те же принципы</w:t>
      </w:r>
      <w:r w:rsidR="002C4EC4" w:rsidRPr="002F03CB">
        <w:rPr>
          <w:rStyle w:val="a4"/>
          <w:b w:val="0"/>
          <w:color w:val="auto"/>
          <w:sz w:val="28"/>
          <w:szCs w:val="28"/>
        </w:rPr>
        <w:t xml:space="preserve"> </w:t>
      </w:r>
      <w:r w:rsidRPr="002F03CB">
        <w:rPr>
          <w:rStyle w:val="a4"/>
          <w:b w:val="0"/>
          <w:color w:val="auto"/>
          <w:sz w:val="28"/>
          <w:szCs w:val="28"/>
        </w:rPr>
        <w:t xml:space="preserve">следует учесть и при понимании значения третьего финансового норматива. Кроме того, количественные значения норматива могут быть  и выше, так как резервный фонд формируется из других источников и при условии достижения общей суммы выданных займов величины в размере в 2 раза ниже, чем объем привлеченных средств, кредитные </w:t>
      </w:r>
      <w:r w:rsidRPr="002F03CB">
        <w:rPr>
          <w:rStyle w:val="a4"/>
          <w:b w:val="0"/>
          <w:color w:val="auto"/>
          <w:sz w:val="28"/>
          <w:szCs w:val="28"/>
        </w:rPr>
        <w:lastRenderedPageBreak/>
        <w:t xml:space="preserve">кооперативы рискуют неиспользованием половины привлеченного капитала.  Конечно, в случае повышения значений данного норматива, и при условии работы кооперативов под максимальной границей нормативов, последним (т.е. кооперативам) важно правильно строить графики погашения и выдачи займов, рассчитывать экономически обоснованные сроки займов. Из этих соображений, некоторый задел все-таки стоит оставить, наложив ограничения на объем выданных займов скажем в размере 15%.  </w:t>
      </w:r>
    </w:p>
    <w:p w:rsidR="007B4496" w:rsidRPr="002F03CB" w:rsidRDefault="00085CE3" w:rsidP="002F03C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F03CB">
        <w:rPr>
          <w:color w:val="000000"/>
          <w:sz w:val="28"/>
          <w:szCs w:val="28"/>
        </w:rPr>
        <w:t>Данные особенности указывают на тот факт, что в составе оборотных активов размещены собственные средства в размере как минимум  суммы величин паевого и резервного фондов. При этом если часть средств паевого фонда инвестирована в долгосрочные финансовые вложения,  то очевидно, что фактическая величина собственных оборотных средств будет меньше. Долгосрочные активы целесообразно формировать за счет долгосрочных займов и кредитов в целях исключения вероятности возникновения дефицита денежных средств</w:t>
      </w:r>
      <w:r w:rsidR="00693A67">
        <w:rPr>
          <w:color w:val="000000"/>
          <w:sz w:val="28"/>
          <w:szCs w:val="28"/>
        </w:rPr>
        <w:t>, что надо учитывать при стратегическом финансовом планировании</w:t>
      </w:r>
      <w:r w:rsidRPr="002F03CB">
        <w:rPr>
          <w:color w:val="000000"/>
          <w:sz w:val="28"/>
          <w:szCs w:val="28"/>
        </w:rPr>
        <w:t xml:space="preserve">. </w:t>
      </w:r>
    </w:p>
    <w:p w:rsidR="002176B9" w:rsidRPr="002F03CB" w:rsidRDefault="00085CE3" w:rsidP="002F03CB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2F03CB">
        <w:rPr>
          <w:color w:val="000000"/>
          <w:sz w:val="28"/>
          <w:szCs w:val="28"/>
        </w:rPr>
        <w:t>Таким образом, минимальная величина собственных оборотных средств рассчитывается по формуле:</w:t>
      </w:r>
    </w:p>
    <w:p w:rsidR="009336CA" w:rsidRPr="002F03CB" w:rsidRDefault="00085CE3" w:rsidP="002F03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F03CB">
        <w:rPr>
          <w:color w:val="000000"/>
          <w:position w:val="-16"/>
          <w:sz w:val="28"/>
          <w:szCs w:val="28"/>
        </w:rPr>
        <w:object w:dxaOrig="31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5.1pt;height:19.95pt" o:ole="">
            <v:imagedata r:id="rId6" o:title=""/>
          </v:shape>
          <o:OLEObject Type="Embed" ProgID="Equation.3" ShapeID="_x0000_i1025" DrawAspect="Content" ObjectID="_1702456472" r:id="rId7"/>
        </w:object>
      </w:r>
      <w:r w:rsidRPr="002F03CB">
        <w:rPr>
          <w:color w:val="000000"/>
          <w:sz w:val="28"/>
          <w:szCs w:val="28"/>
        </w:rPr>
        <w:t xml:space="preserve">, где  </w:t>
      </w:r>
    </w:p>
    <w:p w:rsidR="002176B9" w:rsidRPr="002F03CB" w:rsidRDefault="00085CE3" w:rsidP="002F03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F03CB">
        <w:rPr>
          <w:color w:val="000000"/>
          <w:position w:val="-10"/>
          <w:sz w:val="28"/>
          <w:szCs w:val="28"/>
        </w:rPr>
        <w:object w:dxaOrig="800" w:dyaOrig="340">
          <v:shape id="_x0000_i1026" type="#_x0000_t75" style="width:39.9pt;height:17.7pt" o:ole="">
            <v:imagedata r:id="rId8" o:title=""/>
          </v:shape>
          <o:OLEObject Type="Embed" ProgID="Equation.3" ShapeID="_x0000_i1026" DrawAspect="Content" ObjectID="_1702456473" r:id="rId9"/>
        </w:object>
      </w:r>
      <w:r w:rsidR="002176B9" w:rsidRPr="002F03CB">
        <w:rPr>
          <w:color w:val="000000"/>
          <w:sz w:val="28"/>
          <w:szCs w:val="28"/>
        </w:rPr>
        <w:t xml:space="preserve">– </w:t>
      </w:r>
      <w:r w:rsidRPr="002F03CB">
        <w:rPr>
          <w:color w:val="000000"/>
          <w:sz w:val="28"/>
          <w:szCs w:val="28"/>
        </w:rPr>
        <w:t xml:space="preserve"> минимальная величина собственных оборотных средств, руб.,</w:t>
      </w:r>
    </w:p>
    <w:p w:rsidR="002176B9" w:rsidRPr="002F03CB" w:rsidRDefault="00085CE3" w:rsidP="002F03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F03CB">
        <w:rPr>
          <w:color w:val="000000"/>
          <w:position w:val="-4"/>
          <w:sz w:val="28"/>
          <w:szCs w:val="28"/>
        </w:rPr>
        <w:object w:dxaOrig="340" w:dyaOrig="260">
          <v:shape id="_x0000_i1027" type="#_x0000_t75" style="width:17.7pt;height:13.3pt" o:ole="">
            <v:imagedata r:id="rId10" o:title=""/>
          </v:shape>
          <o:OLEObject Type="Embed" ProgID="Equation.3" ShapeID="_x0000_i1027" DrawAspect="Content" ObjectID="_1702456474" r:id="rId11"/>
        </w:object>
      </w:r>
      <w:r w:rsidR="002176B9" w:rsidRPr="002F03CB">
        <w:rPr>
          <w:color w:val="000000"/>
          <w:sz w:val="28"/>
          <w:szCs w:val="28"/>
        </w:rPr>
        <w:t xml:space="preserve">– </w:t>
      </w:r>
      <w:r w:rsidRPr="002F03CB">
        <w:rPr>
          <w:color w:val="000000"/>
          <w:sz w:val="28"/>
          <w:szCs w:val="28"/>
        </w:rPr>
        <w:t xml:space="preserve"> текущие активы, руб.</w:t>
      </w:r>
    </w:p>
    <w:p w:rsidR="002176B9" w:rsidRPr="002F03CB" w:rsidRDefault="00085CE3" w:rsidP="002F03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F03CB">
        <w:rPr>
          <w:color w:val="000000"/>
          <w:position w:val="-4"/>
          <w:sz w:val="28"/>
          <w:szCs w:val="28"/>
        </w:rPr>
        <w:object w:dxaOrig="380" w:dyaOrig="260">
          <v:shape id="_x0000_i1028" type="#_x0000_t75" style="width:18.85pt;height:13.3pt" o:ole="">
            <v:imagedata r:id="rId12" o:title=""/>
          </v:shape>
          <o:OLEObject Type="Embed" ProgID="Equation.3" ShapeID="_x0000_i1028" DrawAspect="Content" ObjectID="_1702456475" r:id="rId13"/>
        </w:object>
      </w:r>
      <w:r w:rsidR="002176B9" w:rsidRPr="002F03CB">
        <w:rPr>
          <w:color w:val="000000"/>
          <w:sz w:val="28"/>
          <w:szCs w:val="28"/>
        </w:rPr>
        <w:t xml:space="preserve">– </w:t>
      </w:r>
      <w:r w:rsidRPr="002F03CB">
        <w:rPr>
          <w:color w:val="000000"/>
          <w:sz w:val="28"/>
          <w:szCs w:val="28"/>
        </w:rPr>
        <w:t xml:space="preserve"> текущие пассивы, руб.</w:t>
      </w:r>
    </w:p>
    <w:p w:rsidR="002176B9" w:rsidRPr="002F03CB" w:rsidRDefault="00085CE3" w:rsidP="002F03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F03CB">
        <w:rPr>
          <w:color w:val="000000"/>
          <w:position w:val="-16"/>
          <w:sz w:val="28"/>
          <w:szCs w:val="28"/>
        </w:rPr>
        <w:object w:dxaOrig="440" w:dyaOrig="400">
          <v:shape id="_x0000_i1029" type="#_x0000_t75" style="width:22.15pt;height:19.95pt" o:ole="">
            <v:imagedata r:id="rId14" o:title=""/>
          </v:shape>
          <o:OLEObject Type="Embed" ProgID="Equation.3" ShapeID="_x0000_i1029" DrawAspect="Content" ObjectID="_1702456476" r:id="rId15"/>
        </w:object>
      </w:r>
      <w:r w:rsidR="002176B9" w:rsidRPr="002F03CB">
        <w:rPr>
          <w:color w:val="000000"/>
          <w:sz w:val="28"/>
          <w:szCs w:val="28"/>
        </w:rPr>
        <w:t xml:space="preserve">– </w:t>
      </w:r>
      <w:r w:rsidRPr="002F03CB">
        <w:rPr>
          <w:color w:val="000000"/>
          <w:sz w:val="28"/>
          <w:szCs w:val="28"/>
        </w:rPr>
        <w:t xml:space="preserve"> величина паевого фонда, руб.</w:t>
      </w:r>
    </w:p>
    <w:p w:rsidR="007B4496" w:rsidRPr="002F03CB" w:rsidRDefault="00085CE3" w:rsidP="002F03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F03CB">
        <w:rPr>
          <w:color w:val="000000"/>
          <w:position w:val="-16"/>
          <w:sz w:val="28"/>
          <w:szCs w:val="28"/>
        </w:rPr>
        <w:object w:dxaOrig="400" w:dyaOrig="400">
          <v:shape id="_x0000_i1030" type="#_x0000_t75" style="width:19.95pt;height:19.95pt" o:ole="">
            <v:imagedata r:id="rId16" o:title=""/>
          </v:shape>
          <o:OLEObject Type="Embed" ProgID="Equation.3" ShapeID="_x0000_i1030" DrawAspect="Content" ObjectID="_1702456477" r:id="rId17"/>
        </w:object>
      </w:r>
      <w:r w:rsidR="002176B9" w:rsidRPr="002F03CB">
        <w:rPr>
          <w:color w:val="000000"/>
          <w:sz w:val="28"/>
          <w:szCs w:val="28"/>
        </w:rPr>
        <w:t xml:space="preserve">– </w:t>
      </w:r>
      <w:r w:rsidRPr="002F03CB">
        <w:rPr>
          <w:color w:val="000000"/>
          <w:sz w:val="28"/>
          <w:szCs w:val="28"/>
        </w:rPr>
        <w:t xml:space="preserve"> величина резервного фонда, руб.</w:t>
      </w:r>
    </w:p>
    <w:p w:rsidR="009336CA" w:rsidRPr="002F03CB" w:rsidRDefault="00085CE3" w:rsidP="002F03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F03CB">
        <w:rPr>
          <w:color w:val="000000"/>
          <w:sz w:val="28"/>
          <w:szCs w:val="28"/>
        </w:rPr>
        <w:t xml:space="preserve">Фактическая величина собственных оборотных средств  может превышать установленный минимум в случае положительного финансового результата по основной уставной деятельности </w:t>
      </w:r>
      <w:r w:rsidR="00A41810" w:rsidRPr="002F03CB">
        <w:rPr>
          <w:color w:val="000000"/>
          <w:sz w:val="28"/>
          <w:szCs w:val="28"/>
        </w:rPr>
        <w:t>(или другим).</w:t>
      </w:r>
    </w:p>
    <w:p w:rsidR="009336CA" w:rsidRPr="002F03CB" w:rsidRDefault="00085CE3" w:rsidP="002F03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F03CB">
        <w:rPr>
          <w:color w:val="000000"/>
          <w:sz w:val="28"/>
          <w:szCs w:val="28"/>
        </w:rPr>
        <w:t>Таким образом, индикатором допустимой величины собственных оборотных сре</w:t>
      </w:r>
      <w:proofErr w:type="gramStart"/>
      <w:r w:rsidRPr="002F03CB">
        <w:rPr>
          <w:color w:val="000000"/>
          <w:sz w:val="28"/>
          <w:szCs w:val="28"/>
        </w:rPr>
        <w:t xml:space="preserve">дств </w:t>
      </w:r>
      <w:r w:rsidR="00693A67">
        <w:rPr>
          <w:color w:val="000000"/>
          <w:sz w:val="28"/>
          <w:szCs w:val="28"/>
        </w:rPr>
        <w:t>ст</w:t>
      </w:r>
      <w:proofErr w:type="gramEnd"/>
      <w:r w:rsidR="00693A67">
        <w:rPr>
          <w:color w:val="000000"/>
          <w:sz w:val="28"/>
          <w:szCs w:val="28"/>
        </w:rPr>
        <w:t>ановится</w:t>
      </w:r>
      <w:r w:rsidRPr="002F03CB">
        <w:rPr>
          <w:color w:val="000000"/>
          <w:sz w:val="28"/>
          <w:szCs w:val="28"/>
        </w:rPr>
        <w:t xml:space="preserve"> выполнение следующего соотношения:</w:t>
      </w:r>
    </w:p>
    <w:p w:rsidR="009336CA" w:rsidRPr="002F03CB" w:rsidRDefault="00085CE3" w:rsidP="002F03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F03CB">
        <w:rPr>
          <w:color w:val="000000"/>
          <w:position w:val="-10"/>
          <w:sz w:val="28"/>
          <w:szCs w:val="28"/>
        </w:rPr>
        <w:object w:dxaOrig="1560" w:dyaOrig="340">
          <v:shape id="_x0000_i1031" type="#_x0000_t75" style="width:77.55pt;height:17.7pt" o:ole="">
            <v:imagedata r:id="rId18" o:title=""/>
          </v:shape>
          <o:OLEObject Type="Embed" ProgID="Equation.3" ShapeID="_x0000_i1031" DrawAspect="Content" ObjectID="_1702456478" r:id="rId19"/>
        </w:object>
      </w:r>
    </w:p>
    <w:p w:rsidR="007B4496" w:rsidRPr="002F03CB" w:rsidRDefault="00085CE3" w:rsidP="002F03CB">
      <w:pPr>
        <w:pStyle w:val="a3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F03CB">
        <w:rPr>
          <w:color w:val="000000"/>
          <w:sz w:val="28"/>
          <w:szCs w:val="28"/>
        </w:rPr>
        <w:t xml:space="preserve">При этом при оценке величины собственных оборотных средств важно также учитывать их критический  уровень, который рассчитывается с учетом законодательно установленных минимумов на величину паевого и резервного фондов. Критическая величина  собственных  оборотных средств изменяется в </w:t>
      </w:r>
      <w:r w:rsidR="00395CD7" w:rsidRPr="002F03CB">
        <w:rPr>
          <w:color w:val="000000"/>
          <w:sz w:val="28"/>
          <w:szCs w:val="28"/>
        </w:rPr>
        <w:t>диапазоне критических значений</w:t>
      </w:r>
      <w:r w:rsidR="00693A67">
        <w:rPr>
          <w:color w:val="000000"/>
          <w:sz w:val="28"/>
          <w:szCs w:val="28"/>
        </w:rPr>
        <w:t>, выступающими ограничителями при разработке финансовой стратегии</w:t>
      </w:r>
      <w:r w:rsidR="00395CD7" w:rsidRPr="002F03CB">
        <w:rPr>
          <w:color w:val="000000"/>
          <w:sz w:val="28"/>
          <w:szCs w:val="28"/>
        </w:rPr>
        <w:t>.</w:t>
      </w:r>
      <w:r w:rsidR="00693A67">
        <w:rPr>
          <w:color w:val="000000"/>
          <w:sz w:val="28"/>
          <w:szCs w:val="28"/>
        </w:rPr>
        <w:t xml:space="preserve"> </w:t>
      </w:r>
    </w:p>
    <w:p w:rsidR="00630A79" w:rsidRPr="002F03CB" w:rsidRDefault="00DE4419" w:rsidP="002F03CB">
      <w:pPr>
        <w:spacing w:line="360" w:lineRule="auto"/>
        <w:jc w:val="center"/>
        <w:rPr>
          <w:sz w:val="28"/>
          <w:szCs w:val="28"/>
        </w:rPr>
      </w:pPr>
      <w:r w:rsidRPr="002F03CB">
        <w:rPr>
          <w:sz w:val="28"/>
          <w:szCs w:val="28"/>
        </w:rPr>
        <w:t>Список литературы</w:t>
      </w:r>
    </w:p>
    <w:p w:rsidR="00630A79" w:rsidRDefault="001D09DA" w:rsidP="002F03CB">
      <w:pPr>
        <w:pStyle w:val="a5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2F03CB">
        <w:rPr>
          <w:sz w:val="28"/>
          <w:szCs w:val="28"/>
        </w:rPr>
        <w:t xml:space="preserve">О кредитной кооперации: </w:t>
      </w:r>
      <w:proofErr w:type="spellStart"/>
      <w:r w:rsidRPr="002F03CB">
        <w:rPr>
          <w:sz w:val="28"/>
          <w:szCs w:val="28"/>
        </w:rPr>
        <w:t>федер</w:t>
      </w:r>
      <w:proofErr w:type="spellEnd"/>
      <w:r w:rsidRPr="002F03CB">
        <w:rPr>
          <w:sz w:val="28"/>
          <w:szCs w:val="28"/>
        </w:rPr>
        <w:t xml:space="preserve">. закон, 18 июля 2009 г. № 190-ФЗ (ред. от 02.11.2013) [Электронный ресурс] // Справочно-правовая система </w:t>
      </w:r>
      <w:proofErr w:type="spellStart"/>
      <w:r w:rsidRPr="002F03CB">
        <w:rPr>
          <w:sz w:val="28"/>
          <w:szCs w:val="28"/>
        </w:rPr>
        <w:t>КонсультантПлю</w:t>
      </w:r>
      <w:proofErr w:type="gramStart"/>
      <w:r w:rsidRPr="002F03CB">
        <w:rPr>
          <w:sz w:val="28"/>
          <w:szCs w:val="28"/>
        </w:rPr>
        <w:t>с</w:t>
      </w:r>
      <w:proofErr w:type="spellEnd"/>
      <w:r w:rsidRPr="002F03CB">
        <w:rPr>
          <w:sz w:val="28"/>
          <w:szCs w:val="28"/>
        </w:rPr>
        <w:t>[</w:t>
      </w:r>
      <w:proofErr w:type="gramEnd"/>
      <w:r w:rsidRPr="002F03CB">
        <w:rPr>
          <w:sz w:val="28"/>
          <w:szCs w:val="28"/>
        </w:rPr>
        <w:t xml:space="preserve">офиц. сайт]. – Режим доступа: </w:t>
      </w:r>
      <w:hyperlink r:id="rId20" w:history="1">
        <w:r w:rsidR="002F03CB" w:rsidRPr="007317C9">
          <w:rPr>
            <w:rStyle w:val="a7"/>
            <w:sz w:val="28"/>
            <w:szCs w:val="28"/>
          </w:rPr>
          <w:t>http://www.consultant.ru</w:t>
        </w:r>
      </w:hyperlink>
    </w:p>
    <w:p w:rsidR="002F03CB" w:rsidRPr="00693A67" w:rsidRDefault="002F03CB" w:rsidP="002F03CB">
      <w:pPr>
        <w:pStyle w:val="a5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693A67">
        <w:rPr>
          <w:iCs/>
          <w:sz w:val="28"/>
          <w:szCs w:val="28"/>
        </w:rPr>
        <w:t xml:space="preserve">А.А. Усова  - Кредитная кооперация в системе стратегического управления развитием </w:t>
      </w:r>
      <w:proofErr w:type="spellStart"/>
      <w:r w:rsidRPr="00693A67">
        <w:rPr>
          <w:iCs/>
          <w:sz w:val="28"/>
          <w:szCs w:val="28"/>
        </w:rPr>
        <w:t>агропредприятий</w:t>
      </w:r>
      <w:proofErr w:type="spellEnd"/>
      <w:r w:rsidRPr="00693A67">
        <w:rPr>
          <w:iCs/>
          <w:sz w:val="28"/>
          <w:szCs w:val="28"/>
        </w:rPr>
        <w:t xml:space="preserve"> молочной специализации // АПК Экономика и предпринимательство</w:t>
      </w:r>
      <w:proofErr w:type="gramStart"/>
      <w:r w:rsidRPr="00693A67">
        <w:rPr>
          <w:iCs/>
          <w:sz w:val="28"/>
          <w:szCs w:val="28"/>
        </w:rPr>
        <w:t xml:space="preserve">.: № </w:t>
      </w:r>
      <w:proofErr w:type="gramEnd"/>
      <w:r w:rsidRPr="00693A67">
        <w:rPr>
          <w:iCs/>
          <w:sz w:val="28"/>
          <w:szCs w:val="28"/>
        </w:rPr>
        <w:t>6, 2014. – Москва: Редакция журнала «</w:t>
      </w:r>
      <w:proofErr w:type="spellStart"/>
      <w:r w:rsidRPr="00693A67">
        <w:rPr>
          <w:iCs/>
          <w:sz w:val="28"/>
          <w:szCs w:val="28"/>
        </w:rPr>
        <w:t>ЭиП</w:t>
      </w:r>
      <w:proofErr w:type="spellEnd"/>
      <w:r w:rsidRPr="00693A67">
        <w:rPr>
          <w:iCs/>
          <w:sz w:val="28"/>
          <w:szCs w:val="28"/>
        </w:rPr>
        <w:t>», 2014</w:t>
      </w:r>
    </w:p>
    <w:p w:rsidR="00630A79" w:rsidRPr="002F03CB" w:rsidRDefault="00630A79" w:rsidP="002F03CB">
      <w:pPr>
        <w:spacing w:line="360" w:lineRule="auto"/>
        <w:jc w:val="both"/>
        <w:rPr>
          <w:b/>
          <w:sz w:val="28"/>
          <w:szCs w:val="28"/>
        </w:rPr>
      </w:pPr>
    </w:p>
    <w:sectPr w:rsidR="00630A79" w:rsidRPr="002F03CB" w:rsidSect="00EF6C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1E27"/>
    <w:multiLevelType w:val="hybridMultilevel"/>
    <w:tmpl w:val="35625F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1541EE"/>
    <w:multiLevelType w:val="hybridMultilevel"/>
    <w:tmpl w:val="6FAE0892"/>
    <w:lvl w:ilvl="0" w:tplc="23224E5C">
      <w:start w:val="1"/>
      <w:numFmt w:val="bullet"/>
      <w:lvlText w:val="-"/>
      <w:lvlJc w:val="left"/>
      <w:pPr>
        <w:ind w:left="105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2">
    <w:nsid w:val="5E290F12"/>
    <w:multiLevelType w:val="hybridMultilevel"/>
    <w:tmpl w:val="D47C1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4CB63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C43CA4"/>
    <w:multiLevelType w:val="hybridMultilevel"/>
    <w:tmpl w:val="ACBE97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A1576FB"/>
    <w:multiLevelType w:val="hybridMultilevel"/>
    <w:tmpl w:val="15EAFF8A"/>
    <w:lvl w:ilvl="0" w:tplc="C564051A">
      <w:start w:val="1"/>
      <w:numFmt w:val="decimal"/>
      <w:lvlText w:val="%1)"/>
      <w:lvlJc w:val="left"/>
      <w:pPr>
        <w:tabs>
          <w:tab w:val="num" w:pos="1883"/>
        </w:tabs>
        <w:ind w:left="1883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3"/>
        </w:tabs>
        <w:ind w:left="18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3"/>
        </w:tabs>
        <w:ind w:left="25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3"/>
        </w:tabs>
        <w:ind w:left="32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3"/>
        </w:tabs>
        <w:ind w:left="40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3"/>
        </w:tabs>
        <w:ind w:left="47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3"/>
        </w:tabs>
        <w:ind w:left="54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3"/>
        </w:tabs>
        <w:ind w:left="61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3"/>
        </w:tabs>
        <w:ind w:left="6893" w:hanging="180"/>
      </w:pPr>
    </w:lvl>
  </w:abstractNum>
  <w:abstractNum w:abstractNumId="5">
    <w:nsid w:val="6B0B4A7B"/>
    <w:multiLevelType w:val="hybridMultilevel"/>
    <w:tmpl w:val="CC2C71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D66DA"/>
    <w:multiLevelType w:val="hybridMultilevel"/>
    <w:tmpl w:val="0AAA7348"/>
    <w:lvl w:ilvl="0" w:tplc="9F22526A">
      <w:start w:val="1"/>
      <w:numFmt w:val="decimal"/>
      <w:lvlText w:val="%1)"/>
      <w:lvlJc w:val="left"/>
      <w:pPr>
        <w:tabs>
          <w:tab w:val="num" w:pos="1133"/>
        </w:tabs>
        <w:ind w:left="1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3"/>
        </w:tabs>
        <w:ind w:left="185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3"/>
        </w:tabs>
        <w:ind w:left="257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3"/>
        </w:tabs>
        <w:ind w:left="329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3"/>
        </w:tabs>
        <w:ind w:left="401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3"/>
        </w:tabs>
        <w:ind w:left="473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3"/>
        </w:tabs>
        <w:ind w:left="545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3"/>
        </w:tabs>
        <w:ind w:left="617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3"/>
        </w:tabs>
        <w:ind w:left="6893" w:hanging="180"/>
      </w:pPr>
    </w:lvl>
  </w:abstractNum>
  <w:abstractNum w:abstractNumId="7">
    <w:nsid w:val="7556424F"/>
    <w:multiLevelType w:val="hybridMultilevel"/>
    <w:tmpl w:val="200E0EBE"/>
    <w:lvl w:ilvl="0" w:tplc="A3E4EE7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/>
  <w:rsids>
    <w:rsidRoot w:val="002765E2"/>
    <w:rsid w:val="00085CE3"/>
    <w:rsid w:val="001A7174"/>
    <w:rsid w:val="001D09DA"/>
    <w:rsid w:val="001D4CDC"/>
    <w:rsid w:val="001F65A8"/>
    <w:rsid w:val="002176B9"/>
    <w:rsid w:val="002765E2"/>
    <w:rsid w:val="002C4EC4"/>
    <w:rsid w:val="002D29B6"/>
    <w:rsid w:val="002F03CB"/>
    <w:rsid w:val="00313382"/>
    <w:rsid w:val="00320D72"/>
    <w:rsid w:val="00395CD7"/>
    <w:rsid w:val="0040474B"/>
    <w:rsid w:val="00490652"/>
    <w:rsid w:val="0052109F"/>
    <w:rsid w:val="00545CB2"/>
    <w:rsid w:val="005574B4"/>
    <w:rsid w:val="00564642"/>
    <w:rsid w:val="0056746E"/>
    <w:rsid w:val="005C5692"/>
    <w:rsid w:val="00630A79"/>
    <w:rsid w:val="00693A67"/>
    <w:rsid w:val="006F3F70"/>
    <w:rsid w:val="007A373F"/>
    <w:rsid w:val="007B4496"/>
    <w:rsid w:val="00816E52"/>
    <w:rsid w:val="00833ECD"/>
    <w:rsid w:val="00850C7B"/>
    <w:rsid w:val="00907174"/>
    <w:rsid w:val="00920D97"/>
    <w:rsid w:val="009336CA"/>
    <w:rsid w:val="00933B27"/>
    <w:rsid w:val="00951E5F"/>
    <w:rsid w:val="009A05F6"/>
    <w:rsid w:val="009F08EB"/>
    <w:rsid w:val="00A056D1"/>
    <w:rsid w:val="00A240C6"/>
    <w:rsid w:val="00A41810"/>
    <w:rsid w:val="00AE4711"/>
    <w:rsid w:val="00C432F4"/>
    <w:rsid w:val="00C70FB3"/>
    <w:rsid w:val="00C91415"/>
    <w:rsid w:val="00D07502"/>
    <w:rsid w:val="00D36C1D"/>
    <w:rsid w:val="00D76D92"/>
    <w:rsid w:val="00DD2F8C"/>
    <w:rsid w:val="00DE4419"/>
    <w:rsid w:val="00DF36F3"/>
    <w:rsid w:val="00E673D2"/>
    <w:rsid w:val="00EF6CC6"/>
    <w:rsid w:val="00F20B54"/>
    <w:rsid w:val="00F55E58"/>
    <w:rsid w:val="00FB21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630A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765E2"/>
    <w:pPr>
      <w:spacing w:before="100" w:beforeAutospacing="1" w:after="100" w:afterAutospacing="1"/>
    </w:pPr>
  </w:style>
  <w:style w:type="character" w:customStyle="1" w:styleId="a4">
    <w:name w:val="Не вступил в силу"/>
    <w:basedOn w:val="a0"/>
    <w:rsid w:val="002765E2"/>
    <w:rPr>
      <w:b/>
      <w:bCs/>
      <w:color w:val="008080"/>
      <w:sz w:val="20"/>
      <w:szCs w:val="20"/>
    </w:rPr>
  </w:style>
  <w:style w:type="paragraph" w:styleId="a5">
    <w:name w:val="List Paragraph"/>
    <w:basedOn w:val="a"/>
    <w:uiPriority w:val="34"/>
    <w:qFormat/>
    <w:rsid w:val="005C569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630A7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Strong"/>
    <w:basedOn w:val="a0"/>
    <w:uiPriority w:val="22"/>
    <w:qFormat/>
    <w:rsid w:val="00630A79"/>
    <w:rPr>
      <w:b/>
      <w:bCs/>
    </w:rPr>
  </w:style>
  <w:style w:type="character" w:customStyle="1" w:styleId="blk5">
    <w:name w:val="blk5"/>
    <w:basedOn w:val="a0"/>
    <w:rsid w:val="00630A79"/>
    <w:rPr>
      <w:rFonts w:ascii="Tahoma" w:hAnsi="Tahoma" w:cs="Tahoma" w:hint="default"/>
      <w:vanish w:val="0"/>
      <w:webHidden w:val="0"/>
      <w:sz w:val="16"/>
      <w:szCs w:val="16"/>
      <w:specVanish w:val="0"/>
    </w:rPr>
  </w:style>
  <w:style w:type="character" w:styleId="a7">
    <w:name w:val="Hyperlink"/>
    <w:basedOn w:val="a0"/>
    <w:uiPriority w:val="99"/>
    <w:unhideWhenUsed/>
    <w:rsid w:val="002F03C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hyperlink" Target="http://www.consultant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B178B-4B17-4CDB-868A-D35AEA8BF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Алекс</cp:lastModifiedBy>
  <cp:revision>3</cp:revision>
  <dcterms:created xsi:type="dcterms:W3CDTF">2021-12-31T06:44:00Z</dcterms:created>
  <dcterms:modified xsi:type="dcterms:W3CDTF">2021-12-31T06:46:00Z</dcterms:modified>
</cp:coreProperties>
</file>