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19E" w:rsidRDefault="00336CD5">
      <w:pPr>
        <w:spacing w:after="1" w:line="395" w:lineRule="auto"/>
        <w:ind w:left="4033" w:right="6" w:firstLine="0"/>
        <w:jc w:val="right"/>
      </w:pPr>
      <w:r>
        <w:rPr>
          <w:b/>
          <w:i/>
        </w:rPr>
        <w:t>Бохан Наталья Валентиновна</w:t>
      </w:r>
    </w:p>
    <w:p w:rsidR="00336CD5" w:rsidRDefault="00336CD5">
      <w:pPr>
        <w:spacing w:after="1" w:line="395" w:lineRule="auto"/>
        <w:ind w:left="4033" w:right="6" w:firstLine="0"/>
        <w:jc w:val="right"/>
      </w:pPr>
      <w:r>
        <w:t>воспитатель</w:t>
      </w:r>
    </w:p>
    <w:p w:rsidR="00BC719E" w:rsidRDefault="00D712C1">
      <w:pPr>
        <w:spacing w:after="186" w:line="259" w:lineRule="auto"/>
        <w:ind w:left="10" w:right="0" w:hanging="10"/>
        <w:jc w:val="right"/>
      </w:pPr>
      <w:bookmarkStart w:id="0" w:name="_GoBack"/>
      <w:bookmarkEnd w:id="0"/>
      <w:r>
        <w:t xml:space="preserve"> </w:t>
      </w:r>
    </w:p>
    <w:p w:rsidR="00BC719E" w:rsidRDefault="00BC719E" w:rsidP="00336CD5">
      <w:pPr>
        <w:spacing w:after="186" w:line="259" w:lineRule="auto"/>
        <w:ind w:right="0"/>
      </w:pPr>
    </w:p>
    <w:p w:rsidR="00BC719E" w:rsidRDefault="00D712C1">
      <w:pPr>
        <w:spacing w:after="193" w:line="259" w:lineRule="auto"/>
        <w:ind w:right="10" w:firstLine="0"/>
        <w:jc w:val="center"/>
      </w:pPr>
      <w:r>
        <w:rPr>
          <w:b/>
        </w:rPr>
        <w:t xml:space="preserve">РАЗВИТИЕ НАВЫКОВ САМООБСЛУЖИВАНИЯ  </w:t>
      </w:r>
    </w:p>
    <w:p w:rsidR="00BC719E" w:rsidRDefault="00D712C1">
      <w:pPr>
        <w:spacing w:after="54" w:line="399" w:lineRule="auto"/>
        <w:ind w:left="2559" w:right="0" w:hanging="929"/>
        <w:jc w:val="left"/>
      </w:pPr>
      <w:r>
        <w:rPr>
          <w:b/>
        </w:rPr>
        <w:t xml:space="preserve">У ДЕТЕЙ РАННЕГО ВОЗРАСТА </w:t>
      </w:r>
      <w:proofErr w:type="gramStart"/>
      <w:r>
        <w:rPr>
          <w:b/>
        </w:rPr>
        <w:t>СРЕДСТВАМИ  ПРЕДМЕТНОЙ</w:t>
      </w:r>
      <w:proofErr w:type="gramEnd"/>
      <w:r>
        <w:rPr>
          <w:b/>
        </w:rPr>
        <w:t xml:space="preserve"> ДЕЯТЕЛЬНОСТИ</w:t>
      </w:r>
      <w:r>
        <w:t xml:space="preserve"> </w:t>
      </w:r>
    </w:p>
    <w:p w:rsidR="00BC719E" w:rsidRDefault="00D712C1">
      <w:pPr>
        <w:spacing w:after="107" w:line="363" w:lineRule="auto"/>
        <w:ind w:left="-15" w:right="-8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723900</wp:posOffset>
            </wp:positionH>
            <wp:positionV relativeFrom="page">
              <wp:posOffset>395859</wp:posOffset>
            </wp:positionV>
            <wp:extent cx="1000125" cy="187325"/>
            <wp:effectExtent l="0" t="0" r="0" b="0"/>
            <wp:wrapTopAndBottom/>
            <wp:docPr id="246" name="Picture 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Picture 24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87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i/>
        </w:rPr>
        <w:t>Аннотация</w:t>
      </w:r>
      <w:r>
        <w:rPr>
          <w:i/>
        </w:rPr>
        <w:t>: в публикации затрагивается важная для нашего времени тема развитие навыков самообслуживания у детей раннего возраста средствами предметной деятель</w:t>
      </w:r>
      <w:r>
        <w:rPr>
          <w:i/>
        </w:rPr>
        <w:t>ности. В публикации обозначены результаты проведенного анализа литературных источников по теме исследования, значимость развитие навыков самообслуживания у детей раннего возраста. Средством развития навыков самообслуживания у детей раннего возраста средств</w:t>
      </w:r>
      <w:r>
        <w:rPr>
          <w:i/>
        </w:rPr>
        <w:t xml:space="preserve">ами предметной деятельности в исследовании выступает </w:t>
      </w:r>
      <w:proofErr w:type="spellStart"/>
      <w:r>
        <w:rPr>
          <w:i/>
        </w:rPr>
        <w:t>бизиборд</w:t>
      </w:r>
      <w:proofErr w:type="spellEnd"/>
      <w:r>
        <w:rPr>
          <w:i/>
        </w:rPr>
        <w:t xml:space="preserve">. </w:t>
      </w:r>
    </w:p>
    <w:p w:rsidR="00BC719E" w:rsidRDefault="00D712C1">
      <w:pPr>
        <w:spacing w:after="150" w:line="363" w:lineRule="auto"/>
        <w:ind w:left="-15" w:right="-8"/>
      </w:pPr>
      <w:r>
        <w:rPr>
          <w:b/>
          <w:i/>
        </w:rPr>
        <w:t>Ключевые слова</w:t>
      </w:r>
      <w:r>
        <w:rPr>
          <w:i/>
        </w:rPr>
        <w:t xml:space="preserve">: дошкольное образование, навыки самообслуживания, ранний возраст, предметная среда. </w:t>
      </w:r>
    </w:p>
    <w:p w:rsidR="00BC719E" w:rsidRDefault="00D712C1">
      <w:pPr>
        <w:ind w:left="-15" w:right="0"/>
      </w:pPr>
      <w:r>
        <w:t>Социальная политика нашего государства, отраженная в национальном проекте «Образование» (фед</w:t>
      </w:r>
      <w:r>
        <w:t xml:space="preserve">еральный проект «Поддержка семей, имеющих детей» [4]), в аспекте поддержки семей с детьми способствует росту количества детей раннего возраста, испытывающих потребность в дошкольном образовании. </w:t>
      </w:r>
    </w:p>
    <w:p w:rsidR="00BC719E" w:rsidRDefault="00D712C1">
      <w:pPr>
        <w:ind w:left="-15" w:right="0"/>
      </w:pPr>
      <w:r>
        <w:t>Федеральный закон №273 «Об образовании в Российской Федераци</w:t>
      </w:r>
      <w:r>
        <w:t>и» [7] и федеральный государственный образовательный стандарт дошкольного образования [5] допускают получение ребенком дошкольного образования с двух месяцев. При этом реализация образовательного процесса в группах детей раннего возраста (яслях), кроме соб</w:t>
      </w:r>
      <w:r>
        <w:t xml:space="preserve">ственно предоставления помещений и создания </w:t>
      </w:r>
      <w:proofErr w:type="spellStart"/>
      <w:r>
        <w:t>материальнотехнических</w:t>
      </w:r>
      <w:proofErr w:type="spellEnd"/>
      <w:r>
        <w:t xml:space="preserve"> условий, встречает ряд проблем, связанных с </w:t>
      </w:r>
      <w:r>
        <w:lastRenderedPageBreak/>
        <w:t xml:space="preserve">недостаточным учетом резервов раннего возраста, важности соблюдения принципа </w:t>
      </w:r>
      <w:proofErr w:type="spellStart"/>
      <w:r>
        <w:t>возрастосообразности</w:t>
      </w:r>
      <w:proofErr w:type="spellEnd"/>
      <w:r>
        <w:t>, значимости ведущего вида деятельности – предме</w:t>
      </w:r>
      <w:r>
        <w:t xml:space="preserve">тной деятельности. </w:t>
      </w:r>
    </w:p>
    <w:p w:rsidR="00BC719E" w:rsidRDefault="00D712C1">
      <w:pPr>
        <w:ind w:left="-15" w:right="0"/>
      </w:pPr>
      <w:r>
        <w:t xml:space="preserve">По утверждению Д.Б. </w:t>
      </w:r>
      <w:proofErr w:type="spellStart"/>
      <w:r>
        <w:t>Эльконина</w:t>
      </w:r>
      <w:proofErr w:type="spellEnd"/>
      <w:r>
        <w:t>, сущность предметной деятельности детей раннего возраста заключается в понятии предметного действия, определяемого как «действие с предметом в соответствии с приданной ему общественной функцией и общественн</w:t>
      </w:r>
      <w:r>
        <w:t xml:space="preserve">о выработанным способом его использования» [9, с. 98]. Система «ребенок – предмет», по мнению Д.Б. </w:t>
      </w:r>
      <w:proofErr w:type="spellStart"/>
      <w:r>
        <w:t>Эльконина</w:t>
      </w:r>
      <w:proofErr w:type="spellEnd"/>
      <w:r>
        <w:t>, представляет собой систему «ребенок – общественный предмет», так как в каждом объекте деятельности для ребенка наиболее значимыми оказываются куль</w:t>
      </w:r>
      <w:r>
        <w:t xml:space="preserve">турно фиксированные способы его употребления, физические, пространственные свойства служат ориентирами для выполнения предметных действий [9]. </w:t>
      </w:r>
    </w:p>
    <w:p w:rsidR="00BC719E" w:rsidRDefault="00D712C1">
      <w:pPr>
        <w:ind w:left="-15" w:right="0"/>
      </w:pPr>
      <w:r>
        <w:t>Предметная деятельность формируется в конце первого года жизни ребенка. Как отмечает Ю.М. Хохрякова, первоначаль</w:t>
      </w:r>
      <w:r>
        <w:t>но ее развитие происходит внутри ведущей в период младенчества деятельности общения. Постепенно предметные действия, возникнув внутри деятельности общения как средство ее осуществления, как способ налаживания контактов со взрослым, начинают приобретать бол</w:t>
      </w:r>
      <w:r>
        <w:t>ее самостоятельный характер. Мотив деятельности ребенка начинает смещаться со взрослого на общественный предмет, культурно фиксированный способ его употребления [8]. Таким образом, общение перестает быть деятельностью в собственном смысле этого слова и ста</w:t>
      </w:r>
      <w:r>
        <w:t xml:space="preserve">новится формой организации предметной деятельности. </w:t>
      </w:r>
    </w:p>
    <w:p w:rsidR="00BC719E" w:rsidRDefault="00D712C1">
      <w:pPr>
        <w:ind w:left="-15" w:right="0"/>
      </w:pPr>
      <w:r>
        <w:t xml:space="preserve">Условием развития ребенка в период раннего возраста выступает совместная со взрослым деятельность, содержанием которой, согласно исследованию Д.Б. </w:t>
      </w:r>
      <w:proofErr w:type="spellStart"/>
      <w:r>
        <w:t>Эльконина</w:t>
      </w:r>
      <w:proofErr w:type="spellEnd"/>
      <w:r>
        <w:t xml:space="preserve">, является усвоение общественно выработанных </w:t>
      </w:r>
      <w:r>
        <w:t xml:space="preserve">способов употребления предметов [9], которые, открываясь ребенку, становятся частью его жизнедеятельности. </w:t>
      </w:r>
    </w:p>
    <w:p w:rsidR="00BC719E" w:rsidRDefault="00D712C1">
      <w:pPr>
        <w:ind w:left="-15" w:right="0"/>
      </w:pPr>
      <w:r>
        <w:lastRenderedPageBreak/>
        <w:t>В раннем возрасте включение взрослого в процесс взаимодействия ребенка с предметным миром имеет важное значение в связи с тем, что несмотря на то, ч</w:t>
      </w:r>
      <w:r>
        <w:t xml:space="preserve">то множеством </w:t>
      </w:r>
      <w:proofErr w:type="spellStart"/>
      <w:r>
        <w:t>манипулятивных</w:t>
      </w:r>
      <w:proofErr w:type="spellEnd"/>
      <w:r>
        <w:t xml:space="preserve"> действий ребенок может овладеть самостоятельно, способ рационального использования предметов, функцию, которую несут эти предметы в жизни людей, данном обществе, кроме взрослого, ребенку никто больше сообщить не может – именно </w:t>
      </w:r>
      <w:r>
        <w:t xml:space="preserve">взрослый раскрывает ребенку назначение предмета. </w:t>
      </w:r>
    </w:p>
    <w:p w:rsidR="00BC719E" w:rsidRDefault="00D712C1">
      <w:pPr>
        <w:ind w:left="-15" w:right="0"/>
      </w:pPr>
      <w:r>
        <w:t>Основной единицей предметной деятельности выступает предметное действие [2]. Отличие предметных действий от простого манипулирования предметами состоит в том, что предметные действия предполагают употреблен</w:t>
      </w:r>
      <w:r>
        <w:t xml:space="preserve">ие предметов по их назначению. </w:t>
      </w:r>
    </w:p>
    <w:p w:rsidR="00BC719E" w:rsidRDefault="00D712C1">
      <w:pPr>
        <w:ind w:left="-15" w:right="0"/>
      </w:pPr>
      <w:r>
        <w:t>Усвоив смысл действия с предметом, ребенок пытается овладеть теми операциями, движениями, которые дают возможность довести действия до конца, при этом усвоение техники выполнения предметных действий – длительный процесс. Пос</w:t>
      </w:r>
      <w:r>
        <w:t>тепенно происходит включение предметом в заданную вместе со взрослым образцом схему действия. Выполняя самостоятельно какое-либо действие, ребенок ориентируется уже на собственный образец, который он построил в уме и который тождественен первоначальному «в</w:t>
      </w:r>
      <w:r>
        <w:t xml:space="preserve">зрослому» образцу. Но на протяжении всего периода овладения орудийным действием ребенку важен взрослый для подтверждения правильности того, что он делает. </w:t>
      </w:r>
    </w:p>
    <w:p w:rsidR="00BC719E" w:rsidRDefault="00D712C1">
      <w:pPr>
        <w:spacing w:after="186" w:line="259" w:lineRule="auto"/>
        <w:ind w:left="10" w:right="87" w:hanging="10"/>
        <w:jc w:val="right"/>
      </w:pPr>
      <w:r>
        <w:t xml:space="preserve">В.Н. Белкина выделяет этапы овладения ребенком предметным действием. </w:t>
      </w:r>
    </w:p>
    <w:p w:rsidR="00BC719E" w:rsidRDefault="00D712C1">
      <w:pPr>
        <w:numPr>
          <w:ilvl w:val="0"/>
          <w:numId w:val="1"/>
        </w:numPr>
        <w:ind w:right="0"/>
      </w:pPr>
      <w:r>
        <w:t>Предмет служит продолжением ру</w:t>
      </w:r>
      <w:r>
        <w:t xml:space="preserve">ки. Ребенок пытается действовать им как рукой. </w:t>
      </w:r>
    </w:p>
    <w:p w:rsidR="00BC719E" w:rsidRDefault="00D712C1">
      <w:pPr>
        <w:numPr>
          <w:ilvl w:val="0"/>
          <w:numId w:val="1"/>
        </w:numPr>
        <w:ind w:right="0"/>
      </w:pPr>
      <w:r>
        <w:t xml:space="preserve">Ребенок улавливает смысл и схему предметного действия, которое частично, а иногда и полностью удается осуществить. </w:t>
      </w:r>
    </w:p>
    <w:p w:rsidR="00BC719E" w:rsidRDefault="00D712C1">
      <w:pPr>
        <w:numPr>
          <w:ilvl w:val="0"/>
          <w:numId w:val="1"/>
        </w:numPr>
        <w:ind w:right="0"/>
      </w:pPr>
      <w:r>
        <w:lastRenderedPageBreak/>
        <w:t xml:space="preserve">Ребенок полностью овладевает техникой выполнения предметного действия [2]. </w:t>
      </w:r>
    </w:p>
    <w:p w:rsidR="00BC719E" w:rsidRDefault="00D712C1">
      <w:pPr>
        <w:ind w:left="-15" w:right="0"/>
      </w:pPr>
      <w:r>
        <w:t>Начиная выполнят</w:t>
      </w:r>
      <w:r>
        <w:t>ь правила пользования предметами, ребенок узнает мир постоянных вещей (монофункциональные предметы). Усвоение нормы поведения в мире постоянных вещей – одно из условий социализации ребенка в раннем возрасте, при этом вначале ребенок только узнает от взросл</w:t>
      </w:r>
      <w:r>
        <w:t xml:space="preserve">ого функцию того или иного предмета, затем наступает период, когда ребенок использует предмет только по назначению. </w:t>
      </w:r>
    </w:p>
    <w:p w:rsidR="00BC719E" w:rsidRDefault="00D712C1">
      <w:pPr>
        <w:ind w:left="-15" w:right="0"/>
      </w:pPr>
      <w:r>
        <w:t xml:space="preserve">По мнению Е.О. Смирновой, Л.Н. </w:t>
      </w:r>
      <w:proofErr w:type="spellStart"/>
      <w:r>
        <w:t>Галигузовой</w:t>
      </w:r>
      <w:proofErr w:type="spellEnd"/>
      <w:r>
        <w:t>, С.Ю. Мещеряковой, особая задача, стоящая перед педагогом в рамках предметной деятельности, – ов</w:t>
      </w:r>
      <w:r>
        <w:t xml:space="preserve">ладение ребенком бытовыми навыками и навыками самообслуживания. Предметные действия дети осваивают, знакомясь с бытовыми предметами в процессе приёма пищи, совершения туалета, переодевания, в совместной бытовой деятельности со взрослыми [6]. </w:t>
      </w:r>
    </w:p>
    <w:p w:rsidR="00BC719E" w:rsidRDefault="00D712C1">
      <w:pPr>
        <w:ind w:left="-15" w:right="0"/>
      </w:pPr>
      <w:r>
        <w:t>В «Образовате</w:t>
      </w:r>
      <w:r>
        <w:t>льной программе дошкольного образования «Мозаика» третий год жизни отмечается как возраст, в котором у ребенка совершенствуются навыки самообслуживания: он уже многое умеет делать сам, знает названия и назначение бытовых предметов; всё более осознанно хоче</w:t>
      </w:r>
      <w:r>
        <w:t xml:space="preserve">т действовать как взрослый, его начинает привлекать не только процесс выполнения действия, но и его результат [3]. </w:t>
      </w:r>
    </w:p>
    <w:p w:rsidR="00BC719E" w:rsidRDefault="00D712C1">
      <w:pPr>
        <w:ind w:left="-15" w:right="0"/>
      </w:pPr>
      <w:r>
        <w:t>Т.И. Бабаева, А.Г. Гогоберидзе, О.В. Солнцева считают: у развивающегося ребенка на третьем году жизни есть все возможности овладения навыкам</w:t>
      </w:r>
      <w:r>
        <w:t xml:space="preserve">и самообслуживания (становление предпосылок трудовой деятельности), в том числе самостоятельно умываться, пользоваться расческой, полотенцем [1]. </w:t>
      </w:r>
    </w:p>
    <w:p w:rsidR="00BC719E" w:rsidRDefault="00D712C1">
      <w:pPr>
        <w:ind w:left="-15" w:right="0"/>
      </w:pPr>
      <w:r>
        <w:t>Для развития навыков самообслуживания и овладения культурно-нормированными предметными действиями в группе де</w:t>
      </w:r>
      <w:r>
        <w:t xml:space="preserve">тского сада должны находиться разнообразные бытовые предметы, игрушки, имитирующие их, и </w:t>
      </w:r>
      <w:r>
        <w:lastRenderedPageBreak/>
        <w:t xml:space="preserve">игрушки, специально предназначенные для развития разнообразных предметных действий. Богатая и разнообразная предметная среда стимулирует ребенка к различным движениям </w:t>
      </w:r>
      <w:r>
        <w:t>и действиям, способствует обогащению чувственного опыта ребёнка, развитию мышления. Предметы, игрушки и материалы должны находиться в открытом доступе, по возможности рассортированы в наборы и размещены так, чтобы у детей возникало желание действовать с ни</w:t>
      </w:r>
      <w:r>
        <w:t>ми. Необходимо предусмотреть, чтобы в группе было достаточное количество и разнообразие игрушек, обеспечивающих детям свободный выбор занятий в соответствии с интересами и предпочтениями каждого ребёнка. Важно, чтобы предметы и игрушки можно было использов</w:t>
      </w:r>
      <w:r>
        <w:t>ать для развития различных органов чувств и формирования разнообразных умений. Поэтому необходимо, чтобы они по возможности были выполнены из разного материала (дерева, пластмассы, металла, ткани, резины), имели разные размеры, фактуру, цвет, звучание, сти</w:t>
      </w:r>
      <w:r>
        <w:t xml:space="preserve">мулировали разные виды действий. </w:t>
      </w:r>
    </w:p>
    <w:p w:rsidR="00BC719E" w:rsidRDefault="00D712C1">
      <w:pPr>
        <w:ind w:left="-15" w:right="0"/>
      </w:pPr>
      <w:r>
        <w:t xml:space="preserve">Оптимальным средством развития навыков самообслуживания у детей раннего возраста средствами предметной деятельности в нашем исследовании выступает </w:t>
      </w:r>
      <w:proofErr w:type="spellStart"/>
      <w:r>
        <w:t>бизиборд</w:t>
      </w:r>
      <w:proofErr w:type="spellEnd"/>
      <w:r>
        <w:t xml:space="preserve"> – развивающая доска, на которой располагаются различные предметы д</w:t>
      </w:r>
      <w:r>
        <w:t xml:space="preserve">ля овладения детьми необходимыми навыками. Идея размещения бытовых приспособлений на специальном стенде принадлежит М. </w:t>
      </w:r>
      <w:proofErr w:type="spellStart"/>
      <w:r>
        <w:t>Монтессори</w:t>
      </w:r>
      <w:proofErr w:type="spellEnd"/>
      <w:r>
        <w:t xml:space="preserve">. </w:t>
      </w:r>
    </w:p>
    <w:p w:rsidR="00BC719E" w:rsidRDefault="00D712C1">
      <w:pPr>
        <w:ind w:left="-15" w:right="0"/>
      </w:pPr>
      <w:r>
        <w:t xml:space="preserve">Для большего охвата детей нами были разработаны </w:t>
      </w:r>
      <w:proofErr w:type="spellStart"/>
      <w:r>
        <w:t>бизиборды</w:t>
      </w:r>
      <w:proofErr w:type="spellEnd"/>
      <w:r>
        <w:t xml:space="preserve"> «</w:t>
      </w:r>
      <w:proofErr w:type="spellStart"/>
      <w:r>
        <w:t>Мойдодыр</w:t>
      </w:r>
      <w:proofErr w:type="spellEnd"/>
      <w:r>
        <w:t>» (приложение), нацеленные на формирование у детей предст</w:t>
      </w:r>
      <w:r>
        <w:t xml:space="preserve">авлений о предметах самообслуживания и их правильного использования, предоставляющие возможность манипулирования ими и экспериментирования. </w:t>
      </w:r>
    </w:p>
    <w:p w:rsidR="00BC719E" w:rsidRDefault="00D712C1">
      <w:pPr>
        <w:spacing w:after="188" w:line="259" w:lineRule="auto"/>
        <w:ind w:left="566" w:right="0" w:firstLine="0"/>
      </w:pPr>
      <w:r>
        <w:t xml:space="preserve">В процессе использования </w:t>
      </w:r>
      <w:proofErr w:type="spellStart"/>
      <w:r>
        <w:t>бизиборда</w:t>
      </w:r>
      <w:proofErr w:type="spellEnd"/>
      <w:r>
        <w:t xml:space="preserve"> «</w:t>
      </w:r>
      <w:proofErr w:type="spellStart"/>
      <w:r>
        <w:t>Мойдодыр</w:t>
      </w:r>
      <w:proofErr w:type="spellEnd"/>
      <w:r>
        <w:t xml:space="preserve">» дети учатся: </w:t>
      </w:r>
    </w:p>
    <w:p w:rsidR="00BC719E" w:rsidRDefault="00D712C1">
      <w:pPr>
        <w:numPr>
          <w:ilvl w:val="0"/>
          <w:numId w:val="2"/>
        </w:numPr>
        <w:spacing w:after="186" w:line="259" w:lineRule="auto"/>
        <w:ind w:right="0"/>
      </w:pPr>
      <w:r>
        <w:t>открывать и закрывать кран с «горячей» и «холодной» вод</w:t>
      </w:r>
      <w:r>
        <w:t xml:space="preserve">ой; </w:t>
      </w:r>
    </w:p>
    <w:p w:rsidR="00BC719E" w:rsidRDefault="00D712C1">
      <w:pPr>
        <w:numPr>
          <w:ilvl w:val="0"/>
          <w:numId w:val="2"/>
        </w:numPr>
        <w:spacing w:after="185" w:line="259" w:lineRule="auto"/>
        <w:ind w:right="0"/>
      </w:pPr>
      <w:r>
        <w:t xml:space="preserve">манипулировать с лейкой для душа; </w:t>
      </w:r>
    </w:p>
    <w:p w:rsidR="00BC719E" w:rsidRDefault="00D712C1">
      <w:pPr>
        <w:numPr>
          <w:ilvl w:val="0"/>
          <w:numId w:val="2"/>
        </w:numPr>
        <w:spacing w:after="185" w:line="259" w:lineRule="auto"/>
        <w:ind w:right="0"/>
      </w:pPr>
      <w:r>
        <w:lastRenderedPageBreak/>
        <w:t xml:space="preserve">использовать мыло и класть его в мыльницу; </w:t>
      </w:r>
    </w:p>
    <w:p w:rsidR="00BC719E" w:rsidRDefault="00D712C1">
      <w:pPr>
        <w:numPr>
          <w:ilvl w:val="0"/>
          <w:numId w:val="2"/>
        </w:numPr>
        <w:spacing w:after="188" w:line="259" w:lineRule="auto"/>
        <w:ind w:right="0"/>
      </w:pPr>
      <w:r>
        <w:t xml:space="preserve">«мылить» мочалку, использовать ее и ухаживать за ней; </w:t>
      </w:r>
    </w:p>
    <w:p w:rsidR="00BC719E" w:rsidRDefault="00D712C1">
      <w:pPr>
        <w:numPr>
          <w:ilvl w:val="0"/>
          <w:numId w:val="2"/>
        </w:numPr>
        <w:spacing w:after="186" w:line="259" w:lineRule="auto"/>
        <w:ind w:right="0"/>
      </w:pPr>
      <w:r>
        <w:t xml:space="preserve">использовать тазик; </w:t>
      </w:r>
    </w:p>
    <w:p w:rsidR="00BC719E" w:rsidRDefault="00D712C1">
      <w:pPr>
        <w:numPr>
          <w:ilvl w:val="0"/>
          <w:numId w:val="2"/>
        </w:numPr>
        <w:ind w:right="0"/>
      </w:pPr>
      <w:r>
        <w:t xml:space="preserve">правильно пользоваться полотенцем и ухаживать за ним (расправлять для сушки); </w:t>
      </w:r>
    </w:p>
    <w:p w:rsidR="00BC719E" w:rsidRDefault="00D712C1">
      <w:pPr>
        <w:numPr>
          <w:ilvl w:val="0"/>
          <w:numId w:val="2"/>
        </w:numPr>
        <w:spacing w:after="187" w:line="259" w:lineRule="auto"/>
        <w:ind w:right="0"/>
      </w:pPr>
      <w:r>
        <w:t xml:space="preserve">использовать </w:t>
      </w:r>
      <w:r>
        <w:t xml:space="preserve">душевую шторку; </w:t>
      </w:r>
    </w:p>
    <w:p w:rsidR="00BC719E" w:rsidRDefault="00D712C1">
      <w:pPr>
        <w:numPr>
          <w:ilvl w:val="0"/>
          <w:numId w:val="2"/>
        </w:numPr>
        <w:ind w:right="0"/>
      </w:pPr>
      <w:r>
        <w:t>правильно пользоваться зубной щеткой и зубной пастой; –</w:t>
      </w:r>
      <w:r>
        <w:rPr>
          <w:rFonts w:ascii="Arial" w:eastAsia="Arial" w:hAnsi="Arial" w:cs="Arial"/>
        </w:rPr>
        <w:t xml:space="preserve"> </w:t>
      </w:r>
      <w:r>
        <w:t xml:space="preserve">манипулировать средствами гигиены. </w:t>
      </w:r>
    </w:p>
    <w:p w:rsidR="00BC719E" w:rsidRDefault="00D712C1">
      <w:pPr>
        <w:numPr>
          <w:ilvl w:val="0"/>
          <w:numId w:val="2"/>
        </w:numPr>
        <w:ind w:right="0"/>
      </w:pPr>
      <w:proofErr w:type="spellStart"/>
      <w:r>
        <w:t>Бизиборд</w:t>
      </w:r>
      <w:proofErr w:type="spellEnd"/>
      <w:r>
        <w:t xml:space="preserve"> как средство развития навыков самообслуживания у детей раннего возраста должен отвечать следующим требованиям: </w:t>
      </w:r>
    </w:p>
    <w:p w:rsidR="00BC719E" w:rsidRDefault="00D712C1">
      <w:pPr>
        <w:numPr>
          <w:ilvl w:val="0"/>
          <w:numId w:val="2"/>
        </w:numPr>
        <w:ind w:right="0"/>
      </w:pPr>
      <w:r>
        <w:t xml:space="preserve">содержательная </w:t>
      </w:r>
      <w:r>
        <w:t xml:space="preserve">насыщенность (разнообразие предметов и выполняемых ими функций); </w:t>
      </w:r>
    </w:p>
    <w:p w:rsidR="00BC719E" w:rsidRDefault="00D712C1">
      <w:pPr>
        <w:numPr>
          <w:ilvl w:val="0"/>
          <w:numId w:val="2"/>
        </w:numPr>
        <w:ind w:right="0"/>
      </w:pPr>
      <w:r>
        <w:t xml:space="preserve">доступность манипулирования предметами (учетом возрастных особенностей, доступное месторасположение); </w:t>
      </w:r>
    </w:p>
    <w:p w:rsidR="00BC719E" w:rsidRDefault="00D712C1">
      <w:pPr>
        <w:numPr>
          <w:ilvl w:val="0"/>
          <w:numId w:val="2"/>
        </w:numPr>
        <w:ind w:right="0"/>
      </w:pPr>
      <w:r>
        <w:t>безопасность (поверхности, элементов крепления, самих предметов; отсутствие острых угло</w:t>
      </w:r>
      <w:r>
        <w:t xml:space="preserve">в; натуральные материалы); </w:t>
      </w:r>
    </w:p>
    <w:p w:rsidR="00BC719E" w:rsidRDefault="00D712C1">
      <w:pPr>
        <w:numPr>
          <w:ilvl w:val="0"/>
          <w:numId w:val="2"/>
        </w:numPr>
        <w:ind w:right="0"/>
      </w:pPr>
      <w:r>
        <w:t xml:space="preserve">эстетическая привлекательность (яркие разные цвета, комфорт восприятия). </w:t>
      </w:r>
    </w:p>
    <w:p w:rsidR="00BC719E" w:rsidRDefault="00D712C1">
      <w:pPr>
        <w:ind w:left="-15" w:right="0"/>
      </w:pPr>
      <w:r>
        <w:t>Имитация действий, представляющих навыки самообслуживания, осуществляется как в самостоятельной свободной деятельности детей, так и в специальной организо</w:t>
      </w:r>
      <w:r>
        <w:t xml:space="preserve">ванной образовательной и игровой деятельности. </w:t>
      </w:r>
    </w:p>
    <w:p w:rsidR="00BC719E" w:rsidRDefault="00D712C1">
      <w:pPr>
        <w:ind w:left="-15" w:right="0"/>
      </w:pPr>
      <w:r>
        <w:t xml:space="preserve">При совместной со взрослыми деятельности детям предъявляются предметы </w:t>
      </w:r>
      <w:proofErr w:type="spellStart"/>
      <w:r>
        <w:t>бизиборда</w:t>
      </w:r>
      <w:proofErr w:type="spellEnd"/>
      <w:r>
        <w:t xml:space="preserve"> и задаются вопросы: «Что можно делать с этим предметом?», «Можно ли делать еще что-нибудь? Что именно?» Так, ребенку демонстриру</w:t>
      </w:r>
      <w:r>
        <w:t xml:space="preserve">ется полотенце и задаются вопросы: «Вот полотенце. Можно ли вытирать полотенцем руки? Можно ли вытирать полотенцем стол, туфельки? Где должно висеть полотенце? Можно повесить полотенце в спальне?» </w:t>
      </w:r>
    </w:p>
    <w:p w:rsidR="00BC719E" w:rsidRDefault="00D712C1">
      <w:pPr>
        <w:ind w:left="-15" w:right="0"/>
      </w:pPr>
      <w:r>
        <w:lastRenderedPageBreak/>
        <w:t>Таким образом, предметная деятельность ребенка раннего воз</w:t>
      </w:r>
      <w:r>
        <w:t xml:space="preserve">раста представляет собой уникальный, многокомпонентный феномен. </w:t>
      </w:r>
    </w:p>
    <w:p w:rsidR="00BC719E" w:rsidRDefault="00D712C1">
      <w:pPr>
        <w:ind w:left="-15" w:right="0"/>
      </w:pPr>
      <w:r>
        <w:t xml:space="preserve">Предметная деятельность способствует развитию навыков самообслуживания. Средством развития навыков самообслуживания у детей раннего возраста средствами предметной деятельности в исследовании </w:t>
      </w:r>
      <w:r>
        <w:t xml:space="preserve">выступает </w:t>
      </w:r>
      <w:proofErr w:type="spellStart"/>
      <w:r>
        <w:t>бизиборд</w:t>
      </w:r>
      <w:proofErr w:type="spellEnd"/>
      <w:r>
        <w:t xml:space="preserve">. </w:t>
      </w:r>
    </w:p>
    <w:p w:rsidR="00BC719E" w:rsidRDefault="00D712C1">
      <w:pPr>
        <w:spacing w:after="186" w:line="259" w:lineRule="auto"/>
        <w:ind w:left="10" w:right="0" w:hanging="10"/>
        <w:jc w:val="right"/>
      </w:pPr>
      <w:r>
        <w:t xml:space="preserve">Приложение </w:t>
      </w:r>
    </w:p>
    <w:p w:rsidR="00BC719E" w:rsidRDefault="00D712C1">
      <w:pPr>
        <w:spacing w:after="119" w:line="259" w:lineRule="auto"/>
        <w:ind w:right="9" w:firstLine="0"/>
        <w:jc w:val="center"/>
      </w:pPr>
      <w:proofErr w:type="spellStart"/>
      <w:r>
        <w:t>Бизиборды</w:t>
      </w:r>
      <w:proofErr w:type="spellEnd"/>
      <w:r>
        <w:t xml:space="preserve"> «</w:t>
      </w:r>
      <w:proofErr w:type="spellStart"/>
      <w:r>
        <w:t>Мойдодыр</w:t>
      </w:r>
      <w:proofErr w:type="spellEnd"/>
      <w:r>
        <w:t xml:space="preserve">» </w:t>
      </w:r>
    </w:p>
    <w:p w:rsidR="00BC719E" w:rsidRDefault="00D712C1">
      <w:pPr>
        <w:spacing w:after="71" w:line="259" w:lineRule="auto"/>
        <w:ind w:left="1370" w:right="0" w:firstLine="0"/>
        <w:jc w:val="left"/>
      </w:pPr>
      <w:r>
        <w:rPr>
          <w:noProof/>
        </w:rPr>
        <w:drawing>
          <wp:inline distT="0" distB="0" distL="0" distR="0">
            <wp:extent cx="1788160" cy="2533015"/>
            <wp:effectExtent l="0" t="0" r="0" b="0"/>
            <wp:docPr id="2604" name="Picture 26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4" name="Picture 260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88160" cy="2533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noProof/>
        </w:rPr>
        <w:drawing>
          <wp:inline distT="0" distB="0" distL="0" distR="0">
            <wp:extent cx="2181860" cy="2524887"/>
            <wp:effectExtent l="0" t="0" r="0" b="0"/>
            <wp:docPr id="2606" name="Picture 26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6" name="Picture 260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81860" cy="2524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BC719E" w:rsidRDefault="00D712C1">
      <w:pPr>
        <w:spacing w:after="0" w:line="259" w:lineRule="auto"/>
        <w:ind w:left="63" w:right="0" w:firstLine="0"/>
        <w:jc w:val="center"/>
      </w:pPr>
      <w:r>
        <w:t xml:space="preserve"> </w:t>
      </w:r>
    </w:p>
    <w:p w:rsidR="00BC719E" w:rsidRDefault="00D712C1">
      <w:pPr>
        <w:spacing w:after="247" w:line="259" w:lineRule="auto"/>
        <w:ind w:left="566" w:right="0" w:firstLine="0"/>
        <w:jc w:val="left"/>
      </w:pPr>
      <w:r>
        <w:t xml:space="preserve"> </w:t>
      </w:r>
    </w:p>
    <w:p w:rsidR="00BC719E" w:rsidRDefault="00D712C1">
      <w:pPr>
        <w:spacing w:after="188" w:line="259" w:lineRule="auto"/>
        <w:ind w:left="566" w:right="0" w:firstLine="0"/>
        <w:jc w:val="left"/>
      </w:pPr>
      <w:r>
        <w:rPr>
          <w:b/>
          <w:i/>
        </w:rPr>
        <w:t xml:space="preserve">Список литературы </w:t>
      </w:r>
    </w:p>
    <w:p w:rsidR="00BC719E" w:rsidRDefault="00D712C1">
      <w:pPr>
        <w:numPr>
          <w:ilvl w:val="0"/>
          <w:numId w:val="3"/>
        </w:numPr>
        <w:ind w:right="0"/>
      </w:pPr>
      <w:r>
        <w:t xml:space="preserve">Бабаева Т.И. Комплексная образовательная программа дошкольного образования «ДЕТСТВО» / Т.И. Бабаева, А.Г. Гогоберидзе, О.В. Солнцева. – СПб.: </w:t>
      </w:r>
    </w:p>
    <w:p w:rsidR="00BC719E" w:rsidRDefault="00D712C1">
      <w:pPr>
        <w:spacing w:after="188" w:line="259" w:lineRule="auto"/>
        <w:ind w:left="-15" w:right="0" w:firstLine="0"/>
      </w:pPr>
      <w:r>
        <w:t>ДЕТСТВО-ПРЕСС, 2019.</w:t>
      </w:r>
      <w:r>
        <w:t xml:space="preserve"> – 352 с. </w:t>
      </w:r>
    </w:p>
    <w:p w:rsidR="00BC719E" w:rsidRDefault="00D712C1">
      <w:pPr>
        <w:numPr>
          <w:ilvl w:val="0"/>
          <w:numId w:val="3"/>
        </w:numPr>
        <w:ind w:right="0"/>
      </w:pPr>
      <w:r>
        <w:t xml:space="preserve">Белкина В.Н. Психология раннего и дошкольного детства: учебное пособие для академического </w:t>
      </w:r>
      <w:proofErr w:type="spellStart"/>
      <w:r>
        <w:t>бакалавриата</w:t>
      </w:r>
      <w:proofErr w:type="spellEnd"/>
      <w:r>
        <w:t xml:space="preserve"> / В.Н. Белкина. – М.: </w:t>
      </w:r>
      <w:proofErr w:type="spellStart"/>
      <w:r>
        <w:t>Юрайт</w:t>
      </w:r>
      <w:proofErr w:type="spellEnd"/>
      <w:r>
        <w:t xml:space="preserve">, 2019. – 170 с. </w:t>
      </w:r>
    </w:p>
    <w:p w:rsidR="00BC719E" w:rsidRDefault="00D712C1">
      <w:pPr>
        <w:numPr>
          <w:ilvl w:val="0"/>
          <w:numId w:val="3"/>
        </w:numPr>
        <w:ind w:right="0"/>
      </w:pPr>
      <w:r>
        <w:lastRenderedPageBreak/>
        <w:t xml:space="preserve">Образовательная программа дошкольного образования «Мозаика» / </w:t>
      </w:r>
      <w:proofErr w:type="spellStart"/>
      <w:r>
        <w:t>Авт.сост</w:t>
      </w:r>
      <w:proofErr w:type="spellEnd"/>
      <w:r>
        <w:t xml:space="preserve">. В.Ю. </w:t>
      </w:r>
      <w:proofErr w:type="spellStart"/>
      <w:r>
        <w:t>Белькович</w:t>
      </w:r>
      <w:proofErr w:type="spellEnd"/>
      <w:r>
        <w:t xml:space="preserve">, Н.В. </w:t>
      </w:r>
      <w:proofErr w:type="spellStart"/>
      <w:r>
        <w:t>Греб</w:t>
      </w:r>
      <w:r>
        <w:t>енкина</w:t>
      </w:r>
      <w:proofErr w:type="spellEnd"/>
      <w:r>
        <w:t xml:space="preserve">, И.А. </w:t>
      </w:r>
      <w:proofErr w:type="spellStart"/>
      <w:r>
        <w:t>Кильдышева</w:t>
      </w:r>
      <w:proofErr w:type="spellEnd"/>
      <w:r>
        <w:t xml:space="preserve">. – М.: ООО «Русское слово – учебник», 2018. – 528 с. </w:t>
      </w:r>
    </w:p>
    <w:p w:rsidR="00BC719E" w:rsidRDefault="00D712C1">
      <w:pPr>
        <w:numPr>
          <w:ilvl w:val="0"/>
          <w:numId w:val="3"/>
        </w:numPr>
        <w:ind w:right="0"/>
      </w:pPr>
      <w:r>
        <w:t>Паспорт федерального проекта «Поддержка семей, имеющих детей» (приложение к протоколу заседания проектного комитета по национальному проекту «Образование» от 07 декабря 2018 г. №</w:t>
      </w:r>
      <w:r>
        <w:t xml:space="preserve">3) [Электронный ресурс]. – Режим доступа: https://project.rkomi.ru/system/attachments/uploads/000/160/715/ original/Poddierzhka_siemiei_imieiushchikh_dietiei_viersiia_2.pdf </w:t>
      </w:r>
    </w:p>
    <w:p w:rsidR="00BC719E" w:rsidRDefault="00D712C1">
      <w:pPr>
        <w:numPr>
          <w:ilvl w:val="0"/>
          <w:numId w:val="3"/>
        </w:numPr>
        <w:ind w:right="0"/>
      </w:pPr>
      <w:r>
        <w:t>Приказ Министерства образования и науки Российской Федерации (</w:t>
      </w:r>
      <w:proofErr w:type="spellStart"/>
      <w:r>
        <w:t>Минобрнауки</w:t>
      </w:r>
      <w:proofErr w:type="spellEnd"/>
      <w:r>
        <w:t xml:space="preserve"> России) </w:t>
      </w:r>
      <w:r>
        <w:t xml:space="preserve">от 17 октября 2013 г. N 1155 «Об утверждении федерального государственного образовательного стандарта дошкольного образования» //Российская газета. – №265. – 25.11.2013. </w:t>
      </w:r>
    </w:p>
    <w:p w:rsidR="00BC719E" w:rsidRDefault="00D712C1">
      <w:pPr>
        <w:numPr>
          <w:ilvl w:val="0"/>
          <w:numId w:val="3"/>
        </w:numPr>
        <w:ind w:right="0"/>
      </w:pPr>
      <w:r>
        <w:t>Смирнова Е.О. Комплексная образовательная программа для детей раннего возраста «Первы</w:t>
      </w:r>
      <w:r>
        <w:t xml:space="preserve">е шаги» / Е.О. Смирнова, Л.Н. </w:t>
      </w:r>
      <w:proofErr w:type="spellStart"/>
      <w:r>
        <w:t>Галигузова</w:t>
      </w:r>
      <w:proofErr w:type="spellEnd"/>
      <w:r>
        <w:t xml:space="preserve">, С.Ю. Мещерякова. – М.: ООО «Русское слово – учебник», 2019. – 168 с. </w:t>
      </w:r>
    </w:p>
    <w:p w:rsidR="00BC719E" w:rsidRDefault="00D712C1">
      <w:pPr>
        <w:numPr>
          <w:ilvl w:val="0"/>
          <w:numId w:val="3"/>
        </w:numPr>
        <w:spacing w:after="186" w:line="259" w:lineRule="auto"/>
        <w:ind w:right="0"/>
      </w:pPr>
      <w:r>
        <w:t xml:space="preserve">Федеральный закон «Об образовании в Российской Федерации». – М.: </w:t>
      </w:r>
    </w:p>
    <w:p w:rsidR="00BC719E" w:rsidRDefault="00D712C1">
      <w:pPr>
        <w:spacing w:after="188" w:line="259" w:lineRule="auto"/>
        <w:ind w:left="-15" w:right="0" w:firstLine="0"/>
      </w:pPr>
      <w:r>
        <w:t xml:space="preserve">Проспект, 2013. – 160с. </w:t>
      </w:r>
    </w:p>
    <w:p w:rsidR="00BC719E" w:rsidRDefault="00D712C1">
      <w:pPr>
        <w:numPr>
          <w:ilvl w:val="0"/>
          <w:numId w:val="3"/>
        </w:numPr>
        <w:ind w:right="0"/>
      </w:pPr>
      <w:r>
        <w:t>Хохрякова Ю.М. Педагогика раннего возраста: учебник д</w:t>
      </w:r>
      <w:r>
        <w:t xml:space="preserve">ля академического </w:t>
      </w:r>
      <w:proofErr w:type="spellStart"/>
      <w:r>
        <w:t>бакалавриата</w:t>
      </w:r>
      <w:proofErr w:type="spellEnd"/>
      <w:r>
        <w:t xml:space="preserve"> / Ю.М. Хохрякова. – М.: </w:t>
      </w:r>
      <w:proofErr w:type="spellStart"/>
      <w:r>
        <w:t>Юрайт</w:t>
      </w:r>
      <w:proofErr w:type="spellEnd"/>
      <w:r>
        <w:t xml:space="preserve">, 2019. – 262 с. </w:t>
      </w:r>
    </w:p>
    <w:p w:rsidR="00BC719E" w:rsidRDefault="00D712C1">
      <w:pPr>
        <w:numPr>
          <w:ilvl w:val="0"/>
          <w:numId w:val="3"/>
        </w:numPr>
        <w:ind w:right="0"/>
      </w:pPr>
      <w:proofErr w:type="spellStart"/>
      <w:r>
        <w:t>Эльконин</w:t>
      </w:r>
      <w:proofErr w:type="spellEnd"/>
      <w:r>
        <w:t xml:space="preserve"> Д.Б. Психическое развитие в детских возрастах: Избранные психологические труды / Д.Б. </w:t>
      </w:r>
      <w:proofErr w:type="spellStart"/>
      <w:r>
        <w:t>Эльконин</w:t>
      </w:r>
      <w:proofErr w:type="spellEnd"/>
      <w:r>
        <w:t xml:space="preserve">. – М.: Институт практической психологии, Воронеж: НПО «МОДЭК», 1997. – </w:t>
      </w:r>
      <w:r>
        <w:t xml:space="preserve">416 с. </w:t>
      </w:r>
    </w:p>
    <w:sectPr w:rsidR="00BC719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51" w:right="1126" w:bottom="1370" w:left="1133" w:header="718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12C1" w:rsidRDefault="00D712C1">
      <w:pPr>
        <w:spacing w:after="0" w:line="240" w:lineRule="auto"/>
      </w:pPr>
      <w:r>
        <w:separator/>
      </w:r>
    </w:p>
  </w:endnote>
  <w:endnote w:type="continuationSeparator" w:id="0">
    <w:p w:rsidR="00D712C1" w:rsidRDefault="00D71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19E" w:rsidRDefault="00D712C1">
    <w:pPr>
      <w:spacing w:after="33" w:line="259" w:lineRule="auto"/>
      <w:ind w:righ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 w:rsidR="00336CD5" w:rsidRPr="00336CD5">
      <w:rPr>
        <w:b/>
        <w:noProof/>
        <w:color w:val="808080"/>
        <w:sz w:val="20"/>
      </w:rPr>
      <w:t>8</w:t>
    </w:r>
    <w:r>
      <w:rPr>
        <w:b/>
        <w:color w:val="808080"/>
        <w:sz w:val="20"/>
      </w:rPr>
      <w:fldChar w:fldCharType="end"/>
    </w:r>
    <w:r>
      <w:rPr>
        <w:b/>
        <w:color w:val="808080"/>
        <w:sz w:val="20"/>
      </w:rPr>
      <w:t xml:space="preserve">     https://interactive-plus.ru </w:t>
    </w:r>
  </w:p>
  <w:p w:rsidR="00BC719E" w:rsidRPr="00336CD5" w:rsidRDefault="00D712C1">
    <w:pPr>
      <w:spacing w:after="0" w:line="259" w:lineRule="auto"/>
      <w:ind w:right="9" w:firstLine="0"/>
      <w:jc w:val="center"/>
      <w:rPr>
        <w:lang w:val="en-US"/>
      </w:rPr>
    </w:pPr>
    <w:r>
      <w:rPr>
        <w:b/>
        <w:color w:val="808080"/>
        <w:sz w:val="20"/>
      </w:rPr>
      <w:t>Содержимое</w:t>
    </w:r>
    <w:r w:rsidRPr="00336CD5">
      <w:rPr>
        <w:b/>
        <w:color w:val="808080"/>
        <w:sz w:val="20"/>
        <w:lang w:val="en-US"/>
      </w:rPr>
      <w:t xml:space="preserve"> </w:t>
    </w:r>
    <w:r>
      <w:rPr>
        <w:b/>
        <w:color w:val="808080"/>
        <w:sz w:val="20"/>
      </w:rPr>
      <w:t>доступно</w:t>
    </w:r>
    <w:r w:rsidRPr="00336CD5">
      <w:rPr>
        <w:b/>
        <w:color w:val="808080"/>
        <w:sz w:val="20"/>
        <w:lang w:val="en-US"/>
      </w:rPr>
      <w:t xml:space="preserve"> </w:t>
    </w:r>
    <w:r>
      <w:rPr>
        <w:b/>
        <w:color w:val="808080"/>
        <w:sz w:val="20"/>
      </w:rPr>
      <w:t>по</w:t>
    </w:r>
    <w:r w:rsidRPr="00336CD5">
      <w:rPr>
        <w:b/>
        <w:color w:val="808080"/>
        <w:sz w:val="20"/>
        <w:lang w:val="en-US"/>
      </w:rPr>
      <w:t xml:space="preserve"> </w:t>
    </w:r>
    <w:r>
      <w:rPr>
        <w:b/>
        <w:color w:val="808080"/>
        <w:sz w:val="20"/>
      </w:rPr>
      <w:t>лицензии</w:t>
    </w:r>
    <w:r w:rsidRPr="00336CD5">
      <w:rPr>
        <w:b/>
        <w:color w:val="808080"/>
        <w:sz w:val="20"/>
        <w:lang w:val="en-US"/>
      </w:rPr>
      <w:t xml:space="preserve"> Creative Commons Attribution 4.0 license (CC-BY 4.0)</w:t>
    </w:r>
    <w:r w:rsidRPr="00336CD5">
      <w:rPr>
        <w:sz w:val="24"/>
        <w:lang w:val="en-US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19E" w:rsidRPr="00336CD5" w:rsidRDefault="00D712C1">
    <w:pPr>
      <w:spacing w:after="0" w:line="230" w:lineRule="auto"/>
      <w:ind w:left="1198" w:right="0" w:firstLine="8342"/>
      <w:rPr>
        <w:lang w:val="en-US"/>
      </w:rPr>
    </w:pPr>
    <w:r>
      <w:fldChar w:fldCharType="begin"/>
    </w:r>
    <w:r w:rsidRPr="00336CD5">
      <w:rPr>
        <w:lang w:val="en-US"/>
      </w:rPr>
      <w:instrText xml:space="preserve"> PAGE   \* MERGEFORMAT </w:instrText>
    </w:r>
    <w:r>
      <w:fldChar w:fldCharType="separate"/>
    </w:r>
    <w:r w:rsidR="00336CD5" w:rsidRPr="00336CD5">
      <w:rPr>
        <w:b/>
        <w:noProof/>
        <w:color w:val="808080"/>
        <w:sz w:val="20"/>
        <w:lang w:val="en-US"/>
      </w:rPr>
      <w:t>7</w:t>
    </w:r>
    <w:r>
      <w:rPr>
        <w:b/>
        <w:color w:val="808080"/>
        <w:sz w:val="20"/>
      </w:rPr>
      <w:fldChar w:fldCharType="end"/>
    </w:r>
    <w:r w:rsidRPr="00336CD5">
      <w:rPr>
        <w:b/>
        <w:color w:val="808080"/>
        <w:sz w:val="20"/>
        <w:lang w:val="en-US"/>
      </w:rPr>
      <w:t xml:space="preserve"> Content is licensed under the Creative Commons Attribution 4.0 license (CC-BY 4.0)</w:t>
    </w:r>
    <w:r w:rsidRPr="00336CD5">
      <w:rPr>
        <w:sz w:val="24"/>
        <w:lang w:val="en-US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19E" w:rsidRPr="00336CD5" w:rsidRDefault="00D712C1">
    <w:pPr>
      <w:spacing w:after="0" w:line="230" w:lineRule="auto"/>
      <w:ind w:left="1198" w:right="0" w:firstLine="8342"/>
      <w:rPr>
        <w:lang w:val="en-US"/>
      </w:rPr>
    </w:pPr>
    <w:r>
      <w:fldChar w:fldCharType="begin"/>
    </w:r>
    <w:r w:rsidRPr="00336CD5">
      <w:rPr>
        <w:lang w:val="en-US"/>
      </w:rPr>
      <w:instrText xml:space="preserve"> PAGE   \* MERGEFORMAT </w:instrText>
    </w:r>
    <w:r>
      <w:fldChar w:fldCharType="separate"/>
    </w:r>
    <w:r w:rsidRPr="00336CD5">
      <w:rPr>
        <w:b/>
        <w:color w:val="808080"/>
        <w:sz w:val="20"/>
        <w:lang w:val="en-US"/>
      </w:rPr>
      <w:t>1</w:t>
    </w:r>
    <w:r>
      <w:rPr>
        <w:b/>
        <w:color w:val="808080"/>
        <w:sz w:val="20"/>
      </w:rPr>
      <w:fldChar w:fldCharType="end"/>
    </w:r>
    <w:r w:rsidRPr="00336CD5">
      <w:rPr>
        <w:b/>
        <w:color w:val="808080"/>
        <w:sz w:val="20"/>
        <w:lang w:val="en-US"/>
      </w:rPr>
      <w:t xml:space="preserve"> Content is licensed under the Creative Commons Attribution 4.0 license (CC-BY 4.0)</w:t>
    </w:r>
    <w:r w:rsidRPr="00336CD5">
      <w:rPr>
        <w:sz w:val="2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12C1" w:rsidRDefault="00D712C1">
      <w:pPr>
        <w:spacing w:after="0" w:line="240" w:lineRule="auto"/>
      </w:pPr>
      <w:r>
        <w:separator/>
      </w:r>
    </w:p>
  </w:footnote>
  <w:footnote w:type="continuationSeparator" w:id="0">
    <w:p w:rsidR="00D712C1" w:rsidRDefault="00D712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19E" w:rsidRDefault="00D712C1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628014</wp:posOffset>
              </wp:positionV>
              <wp:extent cx="6120130" cy="12065"/>
              <wp:effectExtent l="0" t="0" r="0" b="0"/>
              <wp:wrapSquare wrapText="bothSides"/>
              <wp:docPr id="13200" name="Group 1320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20130" cy="12065"/>
                        <a:chOff x="0" y="0"/>
                        <a:chExt cx="6120130" cy="12065"/>
                      </a:xfrm>
                    </wpg:grpSpPr>
                    <wps:wsp>
                      <wps:cNvPr id="13313" name="Shape 13313"/>
                      <wps:cNvSpPr/>
                      <wps:spPr>
                        <a:xfrm>
                          <a:off x="0" y="0"/>
                          <a:ext cx="6120130" cy="120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20130" h="12065">
                              <a:moveTo>
                                <a:pt x="0" y="0"/>
                              </a:moveTo>
                              <a:lnTo>
                                <a:pt x="6120130" y="0"/>
                              </a:lnTo>
                              <a:lnTo>
                                <a:pt x="6120130" y="12065"/>
                              </a:lnTo>
                              <a:lnTo>
                                <a:pt x="0" y="1206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3200" style="width:481.9pt;height:0.950012pt;position:absolute;mso-position-horizontal-relative:page;mso-position-horizontal:absolute;margin-left:56.65pt;mso-position-vertical-relative:page;margin-top:49.45pt;" coordsize="61201,120">
              <v:shape id="Shape 13314" style="position:absolute;width:61201;height:120;left:0;top:0;" coordsize="6120130,12065" path="m0,0l6120130,0l6120130,12065l0,1206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b/>
        <w:color w:val="808080"/>
        <w:sz w:val="20"/>
      </w:rPr>
      <w:t>Центр научного сотрудничества «</w:t>
    </w:r>
    <w:proofErr w:type="spellStart"/>
    <w:r>
      <w:rPr>
        <w:b/>
        <w:color w:val="808080"/>
        <w:sz w:val="20"/>
      </w:rPr>
      <w:t>Интерактив</w:t>
    </w:r>
    <w:proofErr w:type="spellEnd"/>
    <w:r>
      <w:rPr>
        <w:b/>
        <w:color w:val="808080"/>
        <w:sz w:val="20"/>
      </w:rPr>
      <w:t xml:space="preserve"> плюс» </w:t>
    </w:r>
  </w:p>
  <w:p w:rsidR="00BC719E" w:rsidRDefault="00D712C1">
    <w:pPr>
      <w:spacing w:after="0" w:line="259" w:lineRule="auto"/>
      <w:ind w:right="-8" w:firstLine="0"/>
      <w:jc w:val="right"/>
    </w:pPr>
    <w:r>
      <w:rPr>
        <w:b/>
        <w:color w:val="808080"/>
        <w:sz w:val="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19E" w:rsidRPr="00336CD5" w:rsidRDefault="00D712C1">
    <w:pPr>
      <w:spacing w:after="0" w:line="259" w:lineRule="auto"/>
      <w:ind w:firstLine="0"/>
      <w:jc w:val="right"/>
      <w:rPr>
        <w:lang w:val="en-US"/>
      </w:rPr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628014</wp:posOffset>
              </wp:positionV>
              <wp:extent cx="6120130" cy="12065"/>
              <wp:effectExtent l="0" t="0" r="0" b="0"/>
              <wp:wrapSquare wrapText="bothSides"/>
              <wp:docPr id="13171" name="Group 1317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20130" cy="12065"/>
                        <a:chOff x="0" y="0"/>
                        <a:chExt cx="6120130" cy="12065"/>
                      </a:xfrm>
                    </wpg:grpSpPr>
                    <wps:wsp>
                      <wps:cNvPr id="13311" name="Shape 13311"/>
                      <wps:cNvSpPr/>
                      <wps:spPr>
                        <a:xfrm>
                          <a:off x="0" y="0"/>
                          <a:ext cx="6120130" cy="120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20130" h="12065">
                              <a:moveTo>
                                <a:pt x="0" y="0"/>
                              </a:moveTo>
                              <a:lnTo>
                                <a:pt x="6120130" y="0"/>
                              </a:lnTo>
                              <a:lnTo>
                                <a:pt x="6120130" y="12065"/>
                              </a:lnTo>
                              <a:lnTo>
                                <a:pt x="0" y="1206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3171" style="width:481.9pt;height:0.950012pt;position:absolute;mso-position-horizontal-relative:page;mso-position-horizontal:absolute;margin-left:56.65pt;mso-position-vertical-relative:page;margin-top:49.45pt;" coordsize="61201,120">
              <v:shape id="Shape 13312" style="position:absolute;width:61201;height:120;left:0;top:0;" coordsize="6120130,12065" path="m0,0l6120130,0l6120130,12065l0,1206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 w:rsidRPr="00336CD5">
      <w:rPr>
        <w:b/>
        <w:color w:val="808080"/>
        <w:sz w:val="20"/>
        <w:lang w:val="en-US"/>
      </w:rPr>
      <w:t xml:space="preserve">Scientific Cooperation Center "Interactive plus" </w:t>
    </w:r>
  </w:p>
  <w:p w:rsidR="00BC719E" w:rsidRPr="00336CD5" w:rsidRDefault="00D712C1">
    <w:pPr>
      <w:spacing w:after="268" w:line="259" w:lineRule="auto"/>
      <w:ind w:right="-8" w:firstLine="0"/>
      <w:jc w:val="right"/>
      <w:rPr>
        <w:lang w:val="en-US"/>
      </w:rPr>
    </w:pPr>
    <w:r w:rsidRPr="00336CD5">
      <w:rPr>
        <w:b/>
        <w:color w:val="808080"/>
        <w:sz w:val="6"/>
        <w:lang w:val="en-US"/>
      </w:rPr>
      <w:t xml:space="preserve"> </w:t>
    </w:r>
  </w:p>
  <w:p w:rsidR="00BC719E" w:rsidRPr="00336CD5" w:rsidRDefault="00D712C1">
    <w:pPr>
      <w:spacing w:after="0" w:line="259" w:lineRule="auto"/>
      <w:ind w:right="-63" w:firstLine="0"/>
      <w:jc w:val="right"/>
      <w:rPr>
        <w:lang w:val="en-US"/>
      </w:rPr>
    </w:pPr>
    <w:r w:rsidRPr="00336CD5">
      <w:rPr>
        <w:lang w:val="en-US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19E" w:rsidRPr="00336CD5" w:rsidRDefault="00D712C1">
    <w:pPr>
      <w:spacing w:after="0" w:line="259" w:lineRule="auto"/>
      <w:ind w:firstLine="0"/>
      <w:jc w:val="right"/>
      <w:rPr>
        <w:lang w:val="en-US"/>
      </w:rPr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628014</wp:posOffset>
              </wp:positionV>
              <wp:extent cx="6120130" cy="12065"/>
              <wp:effectExtent l="0" t="0" r="0" b="0"/>
              <wp:wrapSquare wrapText="bothSides"/>
              <wp:docPr id="13142" name="Group 1314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20130" cy="12065"/>
                        <a:chOff x="0" y="0"/>
                        <a:chExt cx="6120130" cy="12065"/>
                      </a:xfrm>
                    </wpg:grpSpPr>
                    <wps:wsp>
                      <wps:cNvPr id="13309" name="Shape 13309"/>
                      <wps:cNvSpPr/>
                      <wps:spPr>
                        <a:xfrm>
                          <a:off x="0" y="0"/>
                          <a:ext cx="6120130" cy="120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20130" h="12065">
                              <a:moveTo>
                                <a:pt x="0" y="0"/>
                              </a:moveTo>
                              <a:lnTo>
                                <a:pt x="6120130" y="0"/>
                              </a:lnTo>
                              <a:lnTo>
                                <a:pt x="6120130" y="12065"/>
                              </a:lnTo>
                              <a:lnTo>
                                <a:pt x="0" y="1206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3142" style="width:481.9pt;height:0.950012pt;position:absolute;mso-position-horizontal-relative:page;mso-position-horizontal:absolute;margin-left:56.65pt;mso-position-vertical-relative:page;margin-top:49.45pt;" coordsize="61201,120">
              <v:shape id="Shape 13310" style="position:absolute;width:61201;height:120;left:0;top:0;" coordsize="6120130,12065" path="m0,0l6120130,0l6120130,12065l0,1206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 w:rsidRPr="00336CD5">
      <w:rPr>
        <w:b/>
        <w:color w:val="808080"/>
        <w:sz w:val="20"/>
        <w:lang w:val="en-US"/>
      </w:rPr>
      <w:t xml:space="preserve">Scientific Cooperation Center "Interactive plus" </w:t>
    </w:r>
  </w:p>
  <w:p w:rsidR="00BC719E" w:rsidRPr="00336CD5" w:rsidRDefault="00D712C1">
    <w:pPr>
      <w:spacing w:after="268" w:line="259" w:lineRule="auto"/>
      <w:ind w:right="-8" w:firstLine="0"/>
      <w:jc w:val="right"/>
      <w:rPr>
        <w:lang w:val="en-US"/>
      </w:rPr>
    </w:pPr>
    <w:r w:rsidRPr="00336CD5">
      <w:rPr>
        <w:b/>
        <w:color w:val="808080"/>
        <w:sz w:val="6"/>
        <w:lang w:val="en-US"/>
      </w:rPr>
      <w:t xml:space="preserve"> </w:t>
    </w:r>
  </w:p>
  <w:p w:rsidR="00BC719E" w:rsidRPr="00336CD5" w:rsidRDefault="00D712C1">
    <w:pPr>
      <w:spacing w:after="0" w:line="259" w:lineRule="auto"/>
      <w:ind w:right="-63" w:firstLine="0"/>
      <w:jc w:val="right"/>
      <w:rPr>
        <w:lang w:val="en-US"/>
      </w:rPr>
    </w:pPr>
    <w:r w:rsidRPr="00336CD5"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21B92"/>
    <w:multiLevelType w:val="hybridMultilevel"/>
    <w:tmpl w:val="D66A4AF2"/>
    <w:lvl w:ilvl="0" w:tplc="8AFC72B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706EDA0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57AD8E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76C21DA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FA8C520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4AAFF9C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0A87F6A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D06C92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274DA5C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C752D33"/>
    <w:multiLevelType w:val="hybridMultilevel"/>
    <w:tmpl w:val="4E7EB0F4"/>
    <w:lvl w:ilvl="0" w:tplc="0C64B7E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3266F40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09C8C4C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7707C24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7B8F6B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65CE0BA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2BA488A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00EE1A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BC6F704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F6277B0"/>
    <w:multiLevelType w:val="hybridMultilevel"/>
    <w:tmpl w:val="BEAAF48A"/>
    <w:lvl w:ilvl="0" w:tplc="F32A3F08">
      <w:start w:val="1"/>
      <w:numFmt w:val="bullet"/>
      <w:lvlText w:val="–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ED27D42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2C270CC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3962880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F85B3E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994AEAE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BE1806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E90E770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F10AF96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19E"/>
    <w:rsid w:val="00336CD5"/>
    <w:rsid w:val="00BC719E"/>
    <w:rsid w:val="00D71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C9AB6"/>
  <w15:docId w15:val="{A3A31A3C-948F-41C3-BE61-1403A11F7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0" w:line="389" w:lineRule="auto"/>
      <w:ind w:right="11" w:firstLine="556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1761</Words>
  <Characters>10043</Characters>
  <Application>Microsoft Office Word</Application>
  <DocSecurity>0</DocSecurity>
  <Lines>83</Lines>
  <Paragraphs>23</Paragraphs>
  <ScaleCrop>false</ScaleCrop>
  <Company>SPecialiST RePack</Company>
  <LinksUpToDate>false</LinksUpToDate>
  <CharactersWithSpaces>11781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cp:lastModifiedBy>Пользователь Windows</cp:lastModifiedBy>
  <cp:revision>3</cp:revision>
  <dcterms:created xsi:type="dcterms:W3CDTF">2022-01-07T08:19:00Z</dcterms:created>
  <dcterms:modified xsi:type="dcterms:W3CDTF">2022-01-07T08:19:00Z</dcterms:modified>
</cp:coreProperties>
</file>