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8F2" w:rsidRPr="000A58F2" w:rsidRDefault="000A58F2" w:rsidP="000A58F2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  <w:lang w:eastAsia="ru-RU"/>
        </w:rPr>
      </w:pPr>
      <w:bookmarkStart w:id="0" w:name="_Toc108539685"/>
      <w:bookmarkStart w:id="1" w:name="_GoBack"/>
      <w:bookmarkEnd w:id="1"/>
      <w:r w:rsidRPr="000A58F2">
        <w:rPr>
          <w:rFonts w:ascii="Times New Roman" w:hAnsi="Times New Roman" w:cs="Times New Roman"/>
          <w:b/>
          <w:caps/>
          <w:color w:val="auto"/>
          <w:sz w:val="28"/>
          <w:szCs w:val="28"/>
          <w:lang w:eastAsia="ru-RU"/>
        </w:rPr>
        <w:t>Сравнительный анализ стандартов в области управления проектами</w:t>
      </w:r>
      <w:bookmarkEnd w:id="0"/>
    </w:p>
    <w:p w:rsidR="000A58F2" w:rsidRDefault="000A58F2" w:rsidP="000A58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8F2" w:rsidRPr="000A58F2" w:rsidRDefault="000A58F2" w:rsidP="000A58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58F2">
        <w:rPr>
          <w:rFonts w:ascii="Times New Roman" w:hAnsi="Times New Roman" w:cs="Times New Roman"/>
          <w:b/>
          <w:bCs/>
          <w:sz w:val="28"/>
          <w:szCs w:val="28"/>
        </w:rPr>
        <w:t>Билько Наталия Васильевна</w:t>
      </w:r>
    </w:p>
    <w:p w:rsidR="000A58F2" w:rsidRPr="000A58F2" w:rsidRDefault="000A58F2" w:rsidP="000A58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0A58F2">
        <w:rPr>
          <w:rFonts w:ascii="Times New Roman" w:hAnsi="Times New Roman" w:cs="Times New Roman"/>
          <w:b/>
          <w:bCs/>
          <w:sz w:val="28"/>
          <w:szCs w:val="28"/>
        </w:rPr>
        <w:t>Мценский</w:t>
      </w:r>
      <w:proofErr w:type="spellEnd"/>
      <w:r w:rsidRPr="000A58F2">
        <w:rPr>
          <w:rFonts w:ascii="Times New Roman" w:hAnsi="Times New Roman" w:cs="Times New Roman"/>
          <w:b/>
          <w:bCs/>
          <w:sz w:val="28"/>
          <w:szCs w:val="28"/>
        </w:rPr>
        <w:t xml:space="preserve"> филиал ФГБОУ ВО «Орловский государственный университет </w:t>
      </w:r>
      <w:proofErr w:type="spellStart"/>
      <w:r w:rsidRPr="000A58F2">
        <w:rPr>
          <w:rFonts w:ascii="Times New Roman" w:hAnsi="Times New Roman" w:cs="Times New Roman"/>
          <w:b/>
          <w:bCs/>
          <w:sz w:val="28"/>
          <w:szCs w:val="28"/>
        </w:rPr>
        <w:t>эимени</w:t>
      </w:r>
      <w:proofErr w:type="spellEnd"/>
      <w:r w:rsidRPr="000A58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A58F2">
        <w:rPr>
          <w:rFonts w:ascii="Times New Roman" w:hAnsi="Times New Roman" w:cs="Times New Roman"/>
          <w:b/>
          <w:bCs/>
          <w:sz w:val="28"/>
          <w:szCs w:val="28"/>
        </w:rPr>
        <w:t>И.С.Тургенева</w:t>
      </w:r>
      <w:proofErr w:type="spellEnd"/>
      <w:r w:rsidRPr="000A58F2">
        <w:rPr>
          <w:rFonts w:ascii="Times New Roman" w:hAnsi="Times New Roman" w:cs="Times New Roman"/>
          <w:b/>
          <w:bCs/>
          <w:sz w:val="28"/>
          <w:szCs w:val="28"/>
        </w:rPr>
        <w:t>», преподаватель</w:t>
      </w:r>
    </w:p>
    <w:p w:rsidR="000A58F2" w:rsidRPr="00315AE4" w:rsidRDefault="000A58F2" w:rsidP="000A58F2">
      <w:pPr>
        <w:pStyle w:val="1"/>
        <w:spacing w:before="0" w:line="360" w:lineRule="auto"/>
        <w:ind w:firstLine="709"/>
        <w:rPr>
          <w:rFonts w:ascii="Times New Roman" w:hAnsi="Times New Roman" w:cs="Times New Roman"/>
          <w:caps/>
          <w:color w:val="auto"/>
          <w:sz w:val="28"/>
          <w:szCs w:val="28"/>
        </w:rPr>
      </w:pPr>
    </w:p>
    <w:p w:rsidR="000A58F2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настоящее  время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одним  из самых  прогрессивных  подходов  к  ведению бизнеса является управление проектом. Управление проектом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представляет  собой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методологию  организации,  планирования,  руководства,  координации человеческих  и материальных ресурсов на протяжении  всего жизненного  цикла  проекта,  направленного  на  эффективное  достижение  его  целей путем применения современных методов и технологий управления 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5395F">
        <w:rPr>
          <w:rFonts w:ascii="Times New Roman" w:hAnsi="Times New Roman" w:cs="Times New Roman"/>
          <w:sz w:val="28"/>
          <w:szCs w:val="28"/>
        </w:rPr>
        <w:t>].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95F">
        <w:rPr>
          <w:rFonts w:ascii="Times New Roman" w:hAnsi="Times New Roman" w:cs="Times New Roman"/>
          <w:sz w:val="28"/>
          <w:szCs w:val="28"/>
        </w:rPr>
        <w:t>Для  большинства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проектно-ориентированных компаний  при  ведении проектов  важной  задачей  является  разработка  корпоративной  методологии управления  проектами, определяющей  основные  понятия,  принципы,  механизмы и процессы функционирования корпоративной системы управления.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Разрабатывая основные решения корпоративной методологии управления, компании опираются на существующий опыт, сконцентрированный в профессиональных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стандартах  управления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проектами. Число стандартов, которые определяют те или иные аспекты управления проектами, насчитывается несколько десятков.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Рассмотрим стандарты в области управления проектами, на которые при выборе основы для формирования корпоративной методологии управления проектами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Маркетинжиниринг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539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останав</w:t>
      </w:r>
      <w:r>
        <w:rPr>
          <w:rFonts w:ascii="Times New Roman" w:hAnsi="Times New Roman" w:cs="Times New Roman"/>
          <w:sz w:val="28"/>
          <w:szCs w:val="28"/>
        </w:rPr>
        <w:t>ить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 свой  выбор.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Руководство к своду знаний по управлению проектами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PMBоK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 является базовым стандартом PMI (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Project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5395F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Institute</w:t>
      </w:r>
      <w:proofErr w:type="spellEnd"/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) по управлению проектами, а также наиболее известным стандартом управления проектами. Признан национальным стандартом Американским национальным институтом по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стандартам  (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ANSI). 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lastRenderedPageBreak/>
        <w:t xml:space="preserve">В данный момент действует 5-е издание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PMBoK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, выпущенное в июле 2013 года. В нем приведены руководящие указания по управлению отдельными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проектами  и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определены  концепции, связанные  с управлением проектами, а также описаны пять групп процессов и девять областей знаний [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5395F">
        <w:rPr>
          <w:rFonts w:ascii="Times New Roman" w:hAnsi="Times New Roman" w:cs="Times New Roman"/>
          <w:sz w:val="28"/>
          <w:szCs w:val="28"/>
        </w:rPr>
        <w:t xml:space="preserve">]. На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основании  этого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стандарта  производится  сертификация специалистов  в области управления  проектами,  в том числе в России (ассоциацией СОВНЕТ,  организацией  PM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Expert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). В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стандарте  дана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общая схема управления  качеством  проекта, помогающая специалистам  в области управления проектами, обеспечивая их знаниями как уникальными для управления проектами.  Однако, несмотря на все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достоинства  стандарта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>, в нем не предусмотрены  требования  для частных  случаев,  а также не заложены  принципы осуществления  любого проекта в целом.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>Стандарт</w:t>
      </w:r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    ISO    21500:2012     </w:t>
      </w:r>
      <w:r w:rsidRPr="0055395F">
        <w:rPr>
          <w:rFonts w:ascii="Times New Roman" w:hAnsi="Times New Roman" w:cs="Times New Roman"/>
          <w:sz w:val="28"/>
          <w:szCs w:val="28"/>
        </w:rPr>
        <w:t>является</w:t>
      </w:r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55395F">
        <w:rPr>
          <w:rFonts w:ascii="Times New Roman" w:hAnsi="Times New Roman" w:cs="Times New Roman"/>
          <w:sz w:val="28"/>
          <w:szCs w:val="28"/>
        </w:rPr>
        <w:t>первым</w:t>
      </w:r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55395F">
        <w:rPr>
          <w:rFonts w:ascii="Times New Roman" w:hAnsi="Times New Roman" w:cs="Times New Roman"/>
          <w:sz w:val="28"/>
          <w:szCs w:val="28"/>
        </w:rPr>
        <w:t>стандартом</w:t>
      </w:r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    ISO (International   Organization   </w:t>
      </w:r>
      <w:proofErr w:type="gramStart"/>
      <w:r w:rsidRPr="0055395F">
        <w:rPr>
          <w:rFonts w:ascii="Times New Roman" w:hAnsi="Times New Roman" w:cs="Times New Roman"/>
          <w:sz w:val="28"/>
          <w:szCs w:val="28"/>
          <w:lang w:val="en-US"/>
        </w:rPr>
        <w:t>for  Standardization</w:t>
      </w:r>
      <w:proofErr w:type="gramEnd"/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)   </w:t>
      </w:r>
      <w:r w:rsidRPr="0055395F">
        <w:rPr>
          <w:rFonts w:ascii="Times New Roman" w:hAnsi="Times New Roman" w:cs="Times New Roman"/>
          <w:sz w:val="28"/>
          <w:szCs w:val="28"/>
        </w:rPr>
        <w:t>по</w:t>
      </w:r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55395F">
        <w:rPr>
          <w:rFonts w:ascii="Times New Roman" w:hAnsi="Times New Roman" w:cs="Times New Roman"/>
          <w:sz w:val="28"/>
          <w:szCs w:val="28"/>
        </w:rPr>
        <w:t>управлению</w:t>
      </w:r>
      <w:r w:rsidRPr="0055395F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55395F">
        <w:rPr>
          <w:rFonts w:ascii="Times New Roman" w:hAnsi="Times New Roman" w:cs="Times New Roman"/>
          <w:sz w:val="28"/>
          <w:szCs w:val="28"/>
        </w:rPr>
        <w:t xml:space="preserve">проектами.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  представляет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общее руководство  для понятий  и процессов  управления проектами,  которые  имеют существенное влияние  на достижение  результатов  проектов 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5395F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95F">
        <w:rPr>
          <w:rFonts w:ascii="Times New Roman" w:hAnsi="Times New Roman" w:cs="Times New Roman"/>
          <w:sz w:val="28"/>
          <w:szCs w:val="28"/>
        </w:rPr>
        <w:t>Процесс  создания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стандарта  был инициирован Британским    институтом   стандартов,    разработан    проектным    комитетом ISO/PC  236  «Управление  проектами». 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Базовой  моделью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стандарта  является руководство 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PMBoK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.  Ранее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  ISO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21500:2012  практически  дублировал руководство 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PMBoK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,  однако  в действующем  на текущий  момент  стандарте, вступившем  в силу с сентября 2012 года, можно выделить одно принципиальное  новшество – наличие  отдельного  процесса  «Заинтересованные лица и изменения». 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Соответственно  в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стандарте,  в отличие от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PMBoK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, описаны десять областей  знаний.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  применим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для целей сертификации,  в основном  применяется  для согласования  с сопутствующими  международными стандартами, такими как ISO 10006:2003.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Стандарт ISO 10006:2003 является основополагающим документом из серии  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 xml:space="preserve">стандартов,   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подготовленных   техническим   комитетом   ISO/TC   176 </w:t>
      </w:r>
      <w:r w:rsidRPr="0055395F">
        <w:rPr>
          <w:rFonts w:ascii="Times New Roman" w:hAnsi="Times New Roman" w:cs="Times New Roman"/>
          <w:sz w:val="28"/>
          <w:szCs w:val="28"/>
        </w:rPr>
        <w:lastRenderedPageBreak/>
        <w:t xml:space="preserve">«Управление   качеством   и  обеспечение   качества»   Всемирной   федерации национальных  органов стандартизации  (члены ISO). Данный стандарт охватывает  десять  групп  процессов  управления  проектом:  первая  группа  представляет процесс разработки  стратегии,  который фокусирует  проект на удовлетворение  потребностей  заказчика  и  определяет  направление  хода работ; вторая  группа  охватывает  управление  взаимосвязями  процессов;  остальные восемь групп – это процессы, связанные с проектным заданием, сроками, затратами,  ресурсами,  кадрами,  информационными потоками,  риском  и материально-техническим снабжением  (закупками). 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Стандарт  ориентирован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на проекты самого широкого спектра – малые и крупные, краткосрочные и долгосрочные,  для различных  окружающих  условий. Он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безотносителен  к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типу проектируемого    продукта   (включая   технические   средства,   программное обеспечение,  полуфабрикаты, услуги или их сочетание) 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395F">
        <w:rPr>
          <w:rFonts w:ascii="Times New Roman" w:hAnsi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95F">
        <w:rPr>
          <w:rFonts w:ascii="Times New Roman" w:hAnsi="Times New Roman" w:cs="Times New Roman"/>
          <w:sz w:val="28"/>
          <w:szCs w:val="28"/>
        </w:rPr>
        <w:t xml:space="preserve">Это означает, что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заложенные  в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нем рамочные требования требуют последующей  адаптации данного руководства к конкретным условиям разработки и реализации отдельного проекта. К тому же стандарт не может быть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использован  для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целей сертификации.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формировании  методологической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базы и выборе подхода управления проектами, необходимо учитывать существующую  в компании методику управления  проектами,  характеризующимися такими параметрами  как: доля проектов в бизнесе, характер реализуемых проектов, уровень зрелости существующей системы управления проектами, уровень подготовки и менталитет сотрудников   компании,  наличие  и  уровень  информационных  технологий. Однако самое главное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необходимо  определиться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со стандартом,  который бы заложил основу для формирования  корпоративной  методологии  управления проектами.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95F">
        <w:rPr>
          <w:rFonts w:ascii="Times New Roman" w:hAnsi="Times New Roman" w:cs="Times New Roman"/>
          <w:sz w:val="28"/>
          <w:szCs w:val="28"/>
        </w:rPr>
        <w:t>Основными  сравнительными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критериями,  влияющими  на выбор  стандарта  в качестве  основы  методологии  управления  проектами,  как  правило, являются:  использование   в  качестве  руководства;  процессы,  </w:t>
      </w:r>
      <w:r w:rsidRPr="0055395F">
        <w:rPr>
          <w:rFonts w:ascii="Times New Roman" w:hAnsi="Times New Roman" w:cs="Times New Roman"/>
          <w:sz w:val="28"/>
          <w:szCs w:val="28"/>
        </w:rPr>
        <w:lastRenderedPageBreak/>
        <w:t>описываемые стандартом;  охват стандарта;  наличие  перевода  на русский  язык; особенности, основные преимущества и недостатки.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95F">
        <w:rPr>
          <w:rFonts w:ascii="Times New Roman" w:hAnsi="Times New Roman" w:cs="Times New Roman"/>
          <w:sz w:val="28"/>
          <w:szCs w:val="28"/>
        </w:rPr>
        <w:t>Для  более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полного  понимания,  каким  стандартом  уместнее  руководствоваться  при составлении  корпоративной  методологии  управления  проектами,  проведем  анализ  описанных  выше  стандартов  в области управления  проектами  на основе выработанных  критериев (таблица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395F">
        <w:rPr>
          <w:rFonts w:ascii="Times New Roman" w:hAnsi="Times New Roman" w:cs="Times New Roman"/>
          <w:sz w:val="28"/>
          <w:szCs w:val="28"/>
        </w:rPr>
        <w:t>).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5395F">
        <w:rPr>
          <w:rFonts w:ascii="Times New Roman" w:hAnsi="Times New Roman" w:cs="Times New Roman"/>
          <w:sz w:val="28"/>
          <w:szCs w:val="28"/>
        </w:rPr>
        <w:t xml:space="preserve"> - Сравнение стандартов в области управления проектами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58F2" w:rsidRPr="0055395F" w:rsidTr="00DE4018">
        <w:tc>
          <w:tcPr>
            <w:tcW w:w="2336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</w:rPr>
              <w:t xml:space="preserve">Критерий </w:t>
            </w:r>
          </w:p>
        </w:tc>
        <w:tc>
          <w:tcPr>
            <w:tcW w:w="2336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95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PMBoK</w:t>
            </w:r>
            <w:proofErr w:type="spellEnd"/>
            <w:r w:rsidRPr="0055395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55395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2013</w:t>
            </w:r>
          </w:p>
        </w:tc>
        <w:tc>
          <w:tcPr>
            <w:tcW w:w="2336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ISO 21500:2012</w:t>
            </w:r>
          </w:p>
        </w:tc>
        <w:tc>
          <w:tcPr>
            <w:tcW w:w="2337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ISO 10006:2003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0A58F2" w:rsidRPr="0055395F" w:rsidRDefault="000A58F2" w:rsidP="00DE4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9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Тип стандарта</w:t>
            </w:r>
          </w:p>
        </w:tc>
        <w:tc>
          <w:tcPr>
            <w:tcW w:w="2336" w:type="dxa"/>
            <w:vAlign w:val="bottom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Национальный стандарт США; используется мировым сообществом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Международный стандарт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Международный стандарт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547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Область применения (в том числе с точки зрения управления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547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качеством)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Управление проектами различных видов в любых отраслях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Может быть использован любым типом организации, включая публичные, частные; применительно к любому типу проектов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Ориентирован на проекты широкого спектра 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Охват стандарта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Девять областей знаний. Управление: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интеграцией; содержанием; сроками; стоимостью;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качеством;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человеческими ресурсами;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коммуникациями;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рисками;</w:t>
            </w:r>
            <w:r>
              <w:rPr>
                <w:sz w:val="23"/>
                <w:szCs w:val="23"/>
                <w:lang w:eastAsia="ru-RU" w:bidi="ru-RU"/>
              </w:rPr>
              <w:t xml:space="preserve"> </w:t>
            </w:r>
            <w:r w:rsidRPr="00557E19">
              <w:rPr>
                <w:sz w:val="23"/>
                <w:szCs w:val="23"/>
                <w:lang w:eastAsia="ru-RU" w:bidi="ru-RU"/>
              </w:rPr>
              <w:t>поставками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Десять областей знаний: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20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Управление интеграци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 xml:space="preserve">ей; </w:t>
            </w:r>
            <w:proofErr w:type="spellStart"/>
            <w:r w:rsidRPr="00557E19">
              <w:rPr>
                <w:sz w:val="23"/>
                <w:szCs w:val="23"/>
                <w:lang w:eastAsia="ru-RU" w:bidi="ru-RU"/>
              </w:rPr>
              <w:t>стейкхол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дерами</w:t>
            </w:r>
            <w:proofErr w:type="spellEnd"/>
            <w:r w:rsidRPr="00557E19">
              <w:rPr>
                <w:sz w:val="23"/>
                <w:szCs w:val="23"/>
                <w:lang w:eastAsia="ru-RU" w:bidi="ru-RU"/>
              </w:rPr>
              <w:t>; содержа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нием;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ресурсами; сроками;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стоимо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стью;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рисками; качеством;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закупками;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коммуни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кациями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Одна область знаний: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управление качеством проекта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Управление качеством проекта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Включает три основных</w:t>
            </w:r>
            <w:r w:rsidRPr="00557E19">
              <w:rPr>
                <w:sz w:val="23"/>
                <w:szCs w:val="23"/>
                <w:lang w:eastAsia="ru-RU" w:bidi="ru-RU"/>
              </w:rPr>
              <w:tab/>
              <w:t>процесса: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планирование, обеспе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чение, контроль каче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ства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Включает три основных</w:t>
            </w:r>
            <w:r w:rsidRPr="00557E19">
              <w:rPr>
                <w:sz w:val="23"/>
                <w:szCs w:val="23"/>
                <w:lang w:eastAsia="ru-RU" w:bidi="ru-RU"/>
              </w:rPr>
              <w:tab/>
              <w:t>процесса: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планирование, обеспе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чение, контроль каче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ства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Стандарт описывает требования к каждому процессу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Использова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 xml:space="preserve">ние для </w:t>
            </w:r>
            <w:r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с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ер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тификации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Используется для целей сертификации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Используется для целей сертификации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Не исполь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з</w:t>
            </w:r>
            <w:r>
              <w:rPr>
                <w:sz w:val="23"/>
                <w:szCs w:val="23"/>
                <w:lang w:eastAsia="ru-RU" w:bidi="ru-RU"/>
              </w:rPr>
              <w:t>уется</w:t>
            </w:r>
            <w:r w:rsidRPr="00557E19">
              <w:rPr>
                <w:sz w:val="23"/>
                <w:szCs w:val="23"/>
                <w:lang w:eastAsia="ru-RU" w:bidi="ru-RU"/>
              </w:rPr>
              <w:t xml:space="preserve"> для целей серти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фикации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Наглядность с точки зре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ния управле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ния каче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ством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Множественное графи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ческое сопровождение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Нет графического сопровождения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 xml:space="preserve">Нет графического сопровождения, </w:t>
            </w:r>
          </w:p>
        </w:tc>
      </w:tr>
    </w:tbl>
    <w:p w:rsidR="000A58F2" w:rsidRPr="00557E19" w:rsidRDefault="000A58F2" w:rsidP="000A58F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557E19">
        <w:rPr>
          <w:rFonts w:ascii="Times New Roman" w:hAnsi="Times New Roman" w:cs="Times New Roman"/>
          <w:sz w:val="28"/>
          <w:szCs w:val="28"/>
        </w:rPr>
        <w:lastRenderedPageBreak/>
        <w:t xml:space="preserve">Продолжение таблицы 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1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>
              <w:rPr>
                <w:sz w:val="23"/>
                <w:szCs w:val="23"/>
                <w:lang w:eastAsia="ru-RU" w:bidi="ru-RU"/>
              </w:rPr>
              <w:t>2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1061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>
              <w:rPr>
                <w:sz w:val="23"/>
                <w:szCs w:val="23"/>
                <w:lang w:eastAsia="ru-RU" w:bidi="ru-RU"/>
              </w:rPr>
              <w:t>3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>
              <w:rPr>
                <w:sz w:val="23"/>
                <w:szCs w:val="23"/>
                <w:lang w:eastAsia="ru-RU" w:bidi="ru-RU"/>
              </w:rPr>
              <w:t>4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557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Процессы, описывае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мые</w:t>
            </w:r>
            <w:r w:rsidRPr="00557E19">
              <w:rPr>
                <w:sz w:val="23"/>
                <w:szCs w:val="23"/>
                <w:lang w:eastAsia="ru-RU" w:bidi="ru-RU"/>
              </w:rPr>
              <w:tab/>
            </w:r>
          </w:p>
          <w:p w:rsidR="000A58F2" w:rsidRPr="00557E19" w:rsidRDefault="000A58F2" w:rsidP="00DE4018">
            <w:pPr>
              <w:pStyle w:val="a5"/>
              <w:shd w:val="clear" w:color="auto" w:fill="auto"/>
              <w:tabs>
                <w:tab w:val="left" w:pos="557"/>
              </w:tabs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стан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дартом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Группа процессов: инициации;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пла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нирования;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ис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полнения;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мо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ниторинга и управления;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группа завершающих процессов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Группа процессов: инициации;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пла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нирования;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ис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полнения;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мо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ниторинга и управления;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группа завершающих процессов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Группа процессов: разработки стратегии; управления взаимосвязями процес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сов; процессы, связанные с проектным заданием, сроками, затратами, кадрами, ресурсами, риском и закупками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Использова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ние в каче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стве руководства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Рекомендуется как ру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ководство по управле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нию проектами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Является руководством для понятий и процессов управления проектами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Не является руковод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ством по управлению проектами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Наличие перевода на русский язык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Имеется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Имеется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Имеется</w:t>
            </w:r>
          </w:p>
        </w:tc>
      </w:tr>
      <w:tr w:rsidR="000A58F2" w:rsidRPr="0055395F" w:rsidTr="00DE4018">
        <w:trPr>
          <w:trHeight w:val="3815"/>
        </w:trPr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Преимущества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 xml:space="preserve">Концепция и </w:t>
            </w:r>
            <w:proofErr w:type="spellStart"/>
            <w:r w:rsidRPr="00557E19">
              <w:rPr>
                <w:sz w:val="23"/>
                <w:szCs w:val="23"/>
                <w:lang w:bidi="en-US"/>
              </w:rPr>
              <w:t>defacto</w:t>
            </w:r>
            <w:proofErr w:type="spellEnd"/>
            <w:r w:rsidRPr="00557E19">
              <w:rPr>
                <w:sz w:val="23"/>
                <w:szCs w:val="23"/>
                <w:lang w:bidi="en-US"/>
              </w:rPr>
              <w:t xml:space="preserve"> </w:t>
            </w:r>
            <w:r w:rsidRPr="00557E19">
              <w:rPr>
                <w:sz w:val="23"/>
                <w:szCs w:val="23"/>
                <w:lang w:eastAsia="ru-RU" w:bidi="ru-RU"/>
              </w:rPr>
              <w:t>стандарт;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ориентация на процессы;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возможность управления ЖЦП, программами и портфелями проектов через процессы;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определение вводных ресурсов, инструментов, методик и результатов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Ориентация на процессы;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возможность управления ЖЦП, программами и портфелями проектов через процессы; определение вводных ресурсов, методик и результатов; дает четкое определе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ние понятию качество проекта</w:t>
            </w:r>
          </w:p>
        </w:tc>
        <w:tc>
          <w:tcPr>
            <w:tcW w:w="2337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Устанавливает руково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дящие принципы по элементам системы ка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чества, концепциям и практическим процеду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рам;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ключевыми являются процессы измерения и анализа, а также процесс постоянного совершен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ствования</w:t>
            </w:r>
          </w:p>
        </w:tc>
      </w:tr>
      <w:tr w:rsidR="000A58F2" w:rsidRPr="0055395F" w:rsidTr="00DE4018">
        <w:tc>
          <w:tcPr>
            <w:tcW w:w="2336" w:type="dxa"/>
          </w:tcPr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Недостатки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Сложность примене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ния для небольших про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ектов; потребность в адапта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ции к области примене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ния, размеру и сфере деятельности проекта, времени, бюджету и ограничениям по каче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ству</w:t>
            </w:r>
          </w:p>
        </w:tc>
        <w:tc>
          <w:tcPr>
            <w:tcW w:w="2336" w:type="dxa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Сложность примене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ния для небольших про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ектов;</w:t>
            </w:r>
          </w:p>
          <w:p w:rsidR="000A58F2" w:rsidRPr="00557E19" w:rsidRDefault="000A58F2" w:rsidP="00DE4018">
            <w:pPr>
              <w:ind w:left="-108" w:right="-36"/>
              <w:jc w:val="center"/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потребность в адапта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ции к области примене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ния, размеру и сфере деятельности проекта, времени, бюджету и ограничениям по каче</w:t>
            </w:r>
            <w:r w:rsidRPr="00557E19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softHyphen/>
              <w:t>ству</w:t>
            </w:r>
          </w:p>
        </w:tc>
        <w:tc>
          <w:tcPr>
            <w:tcW w:w="2337" w:type="dxa"/>
            <w:vAlign w:val="bottom"/>
          </w:tcPr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Ограничивает развитие описания продукта про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екта;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 xml:space="preserve">не позволяет </w:t>
            </w:r>
            <w:proofErr w:type="spellStart"/>
            <w:r w:rsidRPr="00557E19">
              <w:rPr>
                <w:sz w:val="23"/>
                <w:szCs w:val="23"/>
                <w:lang w:eastAsia="ru-RU" w:bidi="ru-RU"/>
              </w:rPr>
              <w:t>опреде</w:t>
            </w:r>
            <w:proofErr w:type="spellEnd"/>
            <w:r w:rsidRPr="00557E19">
              <w:rPr>
                <w:sz w:val="23"/>
                <w:szCs w:val="23"/>
                <w:lang w:eastAsia="ru-RU" w:bidi="ru-RU"/>
              </w:rPr>
              <w:t xml:space="preserve"> - лить стадии проекта;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</w:rPr>
            </w:pPr>
            <w:proofErr w:type="gramStart"/>
            <w:r w:rsidRPr="00557E19">
              <w:rPr>
                <w:sz w:val="23"/>
                <w:szCs w:val="23"/>
                <w:lang w:eastAsia="ru-RU" w:bidi="ru-RU"/>
              </w:rPr>
              <w:t>отсутствие  конкретных</w:t>
            </w:r>
            <w:proofErr w:type="gramEnd"/>
            <w:r w:rsidRPr="00557E19">
              <w:rPr>
                <w:sz w:val="23"/>
                <w:szCs w:val="23"/>
                <w:lang w:eastAsia="ru-RU" w:bidi="ru-RU"/>
              </w:rPr>
              <w:t xml:space="preserve"> направлений действия;</w:t>
            </w:r>
          </w:p>
          <w:p w:rsidR="000A58F2" w:rsidRPr="00557E19" w:rsidRDefault="000A58F2" w:rsidP="00DE4018">
            <w:pPr>
              <w:pStyle w:val="a5"/>
              <w:shd w:val="clear" w:color="auto" w:fill="auto"/>
              <w:spacing w:line="240" w:lineRule="auto"/>
              <w:ind w:left="-108" w:right="-36" w:firstLine="0"/>
              <w:jc w:val="center"/>
              <w:rPr>
                <w:sz w:val="23"/>
                <w:szCs w:val="23"/>
                <w:lang w:eastAsia="ru-RU" w:bidi="ru-RU"/>
              </w:rPr>
            </w:pPr>
            <w:r w:rsidRPr="00557E19">
              <w:rPr>
                <w:sz w:val="23"/>
                <w:szCs w:val="23"/>
                <w:lang w:eastAsia="ru-RU" w:bidi="ru-RU"/>
              </w:rPr>
              <w:t>рекомендует приме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>нять к менеджменту ка</w:t>
            </w:r>
            <w:r w:rsidRPr="00557E19">
              <w:rPr>
                <w:sz w:val="23"/>
                <w:szCs w:val="23"/>
                <w:lang w:eastAsia="ru-RU" w:bidi="ru-RU"/>
              </w:rPr>
              <w:softHyphen/>
              <w:t xml:space="preserve">чества общие принципы качества </w:t>
            </w:r>
          </w:p>
        </w:tc>
      </w:tr>
    </w:tbl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58F2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95F">
        <w:rPr>
          <w:rFonts w:ascii="Times New Roman" w:hAnsi="Times New Roman" w:cs="Times New Roman"/>
          <w:sz w:val="28"/>
          <w:szCs w:val="28"/>
        </w:rPr>
        <w:t>Представленная  сравнительная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таблица позволяет сделать вывод о том, что каждый из анализируемых  стандартов  рассматривает управление проектами и их качество с различных точек зрения, что обуславливает  наличие как преимуществ,  так и недостатков  у каждого стандарта.  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этим невозможно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однозначно  определить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,  какой из представленных  стандартов  лучше, а какой  хуже. 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Поэтому  в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качестве  основы  для  формирования  методологии корпоративной   системы  управления  проектами,  необходимо  использовать комбинированный подход  с использованием  ключевых  преимуществ  существующих стандартов.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395F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разработки  совершенно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нового стандарта  для формирования основных  принципов  управления  на  уровне  проекта,  обучения  персонала и формирования  общей терминологии  в </w:t>
      </w:r>
      <w:r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Маркетинжиниринг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5395F">
        <w:rPr>
          <w:rFonts w:ascii="Times New Roman" w:hAnsi="Times New Roman" w:cs="Times New Roman"/>
          <w:sz w:val="28"/>
          <w:szCs w:val="28"/>
        </w:rPr>
        <w:t xml:space="preserve"> наиболее информативным  и удобным в применении будет стандарт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PMBoK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, Потребитель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РМВоК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 получает готовую инструкцию  к применению,  которая может быть задействована в проекте любого вида и размера. Более того, </w:t>
      </w:r>
      <w:proofErr w:type="spellStart"/>
      <w:r w:rsidRPr="0055395F">
        <w:rPr>
          <w:rFonts w:ascii="Times New Roman" w:hAnsi="Times New Roman" w:cs="Times New Roman"/>
          <w:sz w:val="28"/>
          <w:szCs w:val="28"/>
        </w:rPr>
        <w:t>РМВоК</w:t>
      </w:r>
      <w:proofErr w:type="spellEnd"/>
      <w:r w:rsidRPr="0055395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55395F">
        <w:rPr>
          <w:rFonts w:ascii="Times New Roman" w:hAnsi="Times New Roman" w:cs="Times New Roman"/>
          <w:sz w:val="28"/>
          <w:szCs w:val="28"/>
        </w:rPr>
        <w:t>противоречит  национальным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стандартам Российской Федерации, что делает возможным их совместное использование.</w:t>
      </w:r>
    </w:p>
    <w:p w:rsidR="000A58F2" w:rsidRPr="0055395F" w:rsidRDefault="000A58F2" w:rsidP="000A58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95F">
        <w:rPr>
          <w:rFonts w:ascii="Times New Roman" w:hAnsi="Times New Roman" w:cs="Times New Roman"/>
          <w:sz w:val="28"/>
          <w:szCs w:val="28"/>
        </w:rPr>
        <w:t>В  целях</w:t>
      </w:r>
      <w:proofErr w:type="gramEnd"/>
      <w:r w:rsidRPr="0055395F">
        <w:rPr>
          <w:rFonts w:ascii="Times New Roman" w:hAnsi="Times New Roman" w:cs="Times New Roman"/>
          <w:sz w:val="28"/>
          <w:szCs w:val="28"/>
        </w:rPr>
        <w:t xml:space="preserve">  повышения   качества  результативности  проекта,  имеющего определенный опыт, следует обратиться к стандарту ISO 10006:2003.</w:t>
      </w:r>
    </w:p>
    <w:p w:rsidR="000A58F2" w:rsidRDefault="000A58F2" w:rsidP="000A58F2">
      <w:pPr>
        <w:spacing w:after="0"/>
        <w:rPr>
          <w:rFonts w:ascii="Times New Roman" w:hAnsi="Times New Roman"/>
          <w:bCs/>
          <w:caps/>
          <w:sz w:val="28"/>
          <w:szCs w:val="28"/>
        </w:rPr>
      </w:pPr>
    </w:p>
    <w:p w:rsidR="001E114B" w:rsidRDefault="001E114B" w:rsidP="000A58F2">
      <w:pPr>
        <w:spacing w:after="0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0A58F2" w:rsidRDefault="000A58F2" w:rsidP="000A58F2">
      <w:pPr>
        <w:spacing w:after="0"/>
        <w:jc w:val="center"/>
        <w:rPr>
          <w:rFonts w:ascii="Times New Roman" w:hAnsi="Times New Roman"/>
          <w:bCs/>
          <w:caps/>
          <w:sz w:val="28"/>
          <w:szCs w:val="28"/>
        </w:rPr>
      </w:pPr>
      <w:proofErr w:type="gramStart"/>
      <w:r w:rsidRPr="008347EB">
        <w:rPr>
          <w:rFonts w:ascii="Times New Roman" w:hAnsi="Times New Roman"/>
          <w:bCs/>
          <w:caps/>
          <w:sz w:val="28"/>
          <w:szCs w:val="28"/>
        </w:rPr>
        <w:t>СПИСОК  ЛИТЕРАТУРЫ</w:t>
      </w:r>
      <w:proofErr w:type="gramEnd"/>
    </w:p>
    <w:p w:rsidR="000A58F2" w:rsidRDefault="000A58F2" w:rsidP="000A58F2">
      <w:pPr>
        <w:spacing w:after="0"/>
        <w:jc w:val="center"/>
        <w:rPr>
          <w:rFonts w:ascii="Times New Roman" w:hAnsi="Times New Roman"/>
          <w:bCs/>
          <w:caps/>
          <w:sz w:val="28"/>
          <w:szCs w:val="28"/>
        </w:rPr>
      </w:pPr>
    </w:p>
    <w:p w:rsidR="000A58F2" w:rsidRPr="000A58F2" w:rsidRDefault="000A58F2" w:rsidP="000A58F2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A58F2">
        <w:rPr>
          <w:rFonts w:ascii="Times New Roman" w:hAnsi="Times New Roman" w:cs="Times New Roman"/>
          <w:sz w:val="28"/>
          <w:szCs w:val="28"/>
        </w:rPr>
        <w:t xml:space="preserve">Белый, Е. М. Управление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проектами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конспект лекций / Е. М. Белый, И. Б. Романова.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Саратов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Ай Пи Эр Медиа, 2018. — 79 c. — ISBN 978-5-4486-0061-6.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https://www.iprbookshop.ru/70287.html (дата обращения: 20.0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A58F2">
        <w:rPr>
          <w:rFonts w:ascii="Times New Roman" w:hAnsi="Times New Roman" w:cs="Times New Roman"/>
          <w:sz w:val="28"/>
          <w:szCs w:val="28"/>
        </w:rPr>
        <w:t xml:space="preserve">.2022). — Режим доступа: для </w:t>
      </w:r>
      <w:proofErr w:type="spellStart"/>
      <w:r w:rsidRPr="000A58F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0A58F2">
        <w:rPr>
          <w:rFonts w:ascii="Times New Roman" w:hAnsi="Times New Roman" w:cs="Times New Roman"/>
          <w:sz w:val="28"/>
          <w:szCs w:val="28"/>
        </w:rPr>
        <w:t>. пользователей. - DOI: https://doi.org/10.23682/70287</w:t>
      </w:r>
    </w:p>
    <w:p w:rsidR="000A58F2" w:rsidRPr="000A58F2" w:rsidRDefault="000A58F2" w:rsidP="000A58F2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A58F2">
        <w:rPr>
          <w:rFonts w:ascii="Times New Roman" w:hAnsi="Times New Roman" w:cs="Times New Roman"/>
          <w:sz w:val="28"/>
          <w:szCs w:val="28"/>
        </w:rPr>
        <w:t xml:space="preserve">Куценко, Е. И. Проектный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менеджмент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учебное пособие / Е. И. Куценко.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Оренбург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Оренбургский государственный университет, ЭБС АСВ, 2017. — 266 c. — ISBN 978-5-7410-1835-4.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https://www.iprbookshop.ru/78823.html (дата обращения: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A58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A58F2">
        <w:rPr>
          <w:rFonts w:ascii="Times New Roman" w:hAnsi="Times New Roman" w:cs="Times New Roman"/>
          <w:sz w:val="28"/>
          <w:szCs w:val="28"/>
        </w:rPr>
        <w:t xml:space="preserve">.2022). — Режим доступа: для </w:t>
      </w:r>
      <w:proofErr w:type="spellStart"/>
      <w:r w:rsidRPr="000A58F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0A58F2">
        <w:rPr>
          <w:rFonts w:ascii="Times New Roman" w:hAnsi="Times New Roman" w:cs="Times New Roman"/>
          <w:sz w:val="28"/>
          <w:szCs w:val="28"/>
        </w:rPr>
        <w:t>. пользователей</w:t>
      </w:r>
    </w:p>
    <w:p w:rsidR="000A58F2" w:rsidRPr="000A58F2" w:rsidRDefault="000A58F2" w:rsidP="000A58F2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A58F2">
        <w:rPr>
          <w:rFonts w:ascii="Times New Roman" w:hAnsi="Times New Roman" w:cs="Times New Roman"/>
          <w:sz w:val="28"/>
          <w:szCs w:val="28"/>
        </w:rPr>
        <w:lastRenderedPageBreak/>
        <w:t>Орлова, П. И. Бизнес-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планирование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учебник для бакалавров / П. И. Орлова ; под редакцией М. И. Глуховой. — 4-е изд.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Дашков и К, Ай Пи Эр Медиа, 2021. — 285 c. — ISBN 978-5-394-04354-3.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https://www.iprbookshop.ru/102270.html (дата обращения: 14.0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A58F2">
        <w:rPr>
          <w:rFonts w:ascii="Times New Roman" w:hAnsi="Times New Roman" w:cs="Times New Roman"/>
          <w:sz w:val="28"/>
          <w:szCs w:val="28"/>
        </w:rPr>
        <w:t xml:space="preserve">.2022). — Режим доступа: для </w:t>
      </w:r>
      <w:proofErr w:type="spellStart"/>
      <w:r w:rsidRPr="000A58F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0A58F2">
        <w:rPr>
          <w:rFonts w:ascii="Times New Roman" w:hAnsi="Times New Roman" w:cs="Times New Roman"/>
          <w:sz w:val="28"/>
          <w:szCs w:val="28"/>
        </w:rPr>
        <w:t>. пользователей</w:t>
      </w:r>
    </w:p>
    <w:p w:rsidR="000A58F2" w:rsidRPr="000A58F2" w:rsidRDefault="000A58F2" w:rsidP="000A58F2">
      <w:pPr>
        <w:pStyle w:val="a6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A58F2">
        <w:rPr>
          <w:rFonts w:ascii="Times New Roman" w:hAnsi="Times New Roman" w:cs="Times New Roman"/>
          <w:sz w:val="28"/>
          <w:szCs w:val="28"/>
        </w:rPr>
        <w:t xml:space="preserve">Троицкая, Н. Н. Управление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проектами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учебное пособие / Н. Н. Троицкая.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Российский университет транспорта (МИИТ), 2020. — 82 c. — </w:t>
      </w:r>
      <w:proofErr w:type="gramStart"/>
      <w:r w:rsidRPr="000A58F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A58F2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https://www.iprbookshop.ru/116005.html (дата обращения: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58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A58F2">
        <w:rPr>
          <w:rFonts w:ascii="Times New Roman" w:hAnsi="Times New Roman" w:cs="Times New Roman"/>
          <w:sz w:val="28"/>
          <w:szCs w:val="28"/>
        </w:rPr>
        <w:t xml:space="preserve">.2022). — Режим доступа: для </w:t>
      </w:r>
      <w:proofErr w:type="spellStart"/>
      <w:r w:rsidRPr="000A58F2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0A58F2">
        <w:rPr>
          <w:rFonts w:ascii="Times New Roman" w:hAnsi="Times New Roman" w:cs="Times New Roman"/>
          <w:sz w:val="28"/>
          <w:szCs w:val="28"/>
        </w:rPr>
        <w:t>. пользователей</w:t>
      </w:r>
    </w:p>
    <w:sectPr w:rsidR="000A58F2" w:rsidRPr="000A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E1B3F"/>
    <w:multiLevelType w:val="hybridMultilevel"/>
    <w:tmpl w:val="F5543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47"/>
    <w:rsid w:val="000A58F2"/>
    <w:rsid w:val="001E114B"/>
    <w:rsid w:val="00A24447"/>
    <w:rsid w:val="00B2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6710C"/>
  <w15:chartTrackingRefBased/>
  <w15:docId w15:val="{CB87B1E7-632F-4D4C-9ED9-A3EFC6F7B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8F2"/>
  </w:style>
  <w:style w:type="paragraph" w:styleId="1">
    <w:name w:val="heading 1"/>
    <w:basedOn w:val="a"/>
    <w:next w:val="a"/>
    <w:link w:val="10"/>
    <w:qFormat/>
    <w:rsid w:val="000A58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58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A58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0A58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0A58F2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0A5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1838</Words>
  <Characters>10478</Characters>
  <Application>Microsoft Office Word</Application>
  <DocSecurity>0</DocSecurity>
  <Lines>87</Lines>
  <Paragraphs>24</Paragraphs>
  <ScaleCrop>false</ScaleCrop>
  <Company/>
  <LinksUpToDate>false</LinksUpToDate>
  <CharactersWithSpaces>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Bilko</dc:creator>
  <cp:keywords/>
  <dc:description/>
  <cp:lastModifiedBy>Bilko</cp:lastModifiedBy>
  <cp:revision>3</cp:revision>
  <dcterms:created xsi:type="dcterms:W3CDTF">2022-09-14T05:52:00Z</dcterms:created>
  <dcterms:modified xsi:type="dcterms:W3CDTF">2022-09-14T05:57:00Z</dcterms:modified>
</cp:coreProperties>
</file>