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word/footnotes.xml" ContentType="application/vnd.openxmlformats-officedocument.wordprocessingml.footnot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mc="http://schemas.openxmlformats.org/markup-compatibility/2006" xmlns:a="http://schemas.openxmlformats.org/drawingml/2006/main" xmlns:wps="http://schemas.microsoft.com/office/word/2010/wordprocessingShape" xmlns:wpg="http://schemas.microsoft.com/office/word/2010/wordprocessingGroup" xmlns:wp14="http://schemas.microsoft.com/office/word/2010/wordprocessingDrawing" xmlns:w14="http://schemas.microsoft.com/office/word/2010/wordml" xmlns:wpi="http://schemas.microsoft.com/office/word/2010/wordprocessingInk" xmlns:aink="http://schemas.microsoft.com/office/drawing/2016/ink">
  <w:body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cs="Times New Roman" w:eastAsia="Times New Roman" w:hAnsi="Times New Roman"/>
          <w:color w:val="000000"/>
          <w:sz w:val="28"/>
          <w:szCs w:val="28"/>
        </w:rPr>
        <w:t>ЧАСТНОЕ ПРОФЕССИОНАЛЬНОЕ ОБРАЗОВАТЕЛЬНОЕ УЧРЕЖДЕНИЕ</w:t>
      </w:r>
    </w:p>
    <w:p>
      <w:pPr>
        <w:shd w:val="clear" w:color="auto" w:fill="ffffff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cs="Times New Roman" w:eastAsia="Times New Roman" w:hAnsi="Times New Roman"/>
          <w:color w:val="000000"/>
          <w:sz w:val="28"/>
          <w:szCs w:val="28"/>
        </w:rPr>
        <w:t>ПЕТРОЗАВОДСКИЙ КООПЕРАТИВНЫЙ ТЕХНИКУМ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pStyle w:val="Normal(Web)"/>
        <w:shd w:val="clear" w:color="auto" w:fill="ffffff"/>
        <w:spacing w:before="0" w:after="0"/>
        <w:jc w:val="center"/>
        <w:rPr>
          <w:b/>
          <w:color w:val="000000"/>
          <w:sz w:val="44"/>
          <w:szCs w:val="44"/>
        </w:rPr>
      </w:pPr>
      <w:r>
        <w:rPr>
          <w:b/>
          <w:color w:val="000000"/>
          <w:sz w:val="44"/>
          <w:szCs w:val="44"/>
        </w:rPr>
        <w:t>Методическая разработка внеклассного мероприятия</w:t>
      </w:r>
    </w:p>
    <w:p>
      <w:pPr>
        <w:pStyle w:val="Normal(Web)"/>
        <w:shd w:val="clear" w:color="auto" w:fill="ffffff"/>
        <w:spacing w:before="0" w:after="0"/>
        <w:jc w:val="center"/>
        <w:rPr>
          <w:b/>
          <w:color w:val="000000"/>
          <w:sz w:val="44"/>
          <w:szCs w:val="44"/>
        </w:rPr>
      </w:pPr>
      <w:r>
        <w:rPr>
          <w:b/>
          <w:color w:val="000000"/>
          <w:sz w:val="44"/>
          <w:szCs w:val="44"/>
        </w:rPr>
        <w:t>Интеллектуально – развлекат</w:t>
      </w:r>
      <w:r>
        <w:rPr>
          <w:b/>
          <w:color w:val="000000"/>
          <w:sz w:val="44"/>
          <w:szCs w:val="44"/>
        </w:rPr>
        <w:t>ельная игра «Финансовая М</w:t>
      </w:r>
      <w:r>
        <w:rPr>
          <w:b/>
          <w:color w:val="000000"/>
          <w:sz w:val="44"/>
          <w:szCs w:val="44"/>
        </w:rPr>
        <w:t>озгобойня»</w:t>
      </w:r>
    </w:p>
    <w:p>
      <w:pPr>
        <w:pStyle w:val="Normal(Web)"/>
        <w:shd w:val="clear" w:color="auto" w:fill="ffffff"/>
        <w:spacing w:before="0" w:after="0"/>
        <w:jc w:val="center"/>
        <w:rPr>
          <w:b/>
          <w:color w:val="000000"/>
          <w:sz w:val="44"/>
          <w:szCs w:val="44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  <w:r>
        <w:rPr>
          <w:color w:val="000000"/>
        </w:rPr>
        <w:t>Разработчик:</w:t>
      </w: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  <w:r>
        <w:rPr>
          <w:color w:val="000000"/>
        </w:rPr>
        <w:t>Преподаватель</w:t>
      </w: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  <w:r>
        <w:rPr>
          <w:color w:val="000000"/>
        </w:rPr>
        <w:t xml:space="preserve"> экономических дисциплин  ЧПОУ ПКТК</w:t>
      </w: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  <w:r>
        <w:rPr>
          <w:color w:val="000000"/>
        </w:rPr>
        <w:t xml:space="preserve">Кузнецова Светлана Ивановна </w:t>
      </w: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right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jc w:val="center"/>
        <w:rPr>
          <w:color w:val="000000"/>
        </w:rPr>
      </w:pPr>
      <w:r>
        <w:rPr>
          <w:color w:val="000000"/>
        </w:rPr>
        <w:t>г. Петрозаводск 2022 г.</w:t>
      </w:r>
    </w:p>
    <w:p>
      <w:pPr>
        <w:shd w:val="clear" w:color="auto" w:fill="ffffff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cs="Times New Roman" w:eastAsia="Times New Roman" w:hAnsi="Times New Roman"/>
          <w:color w:val="000000"/>
          <w:sz w:val="28"/>
          <w:szCs w:val="28"/>
        </w:rPr>
        <w:t>Содержание: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</w:p>
    <w:p>
      <w:pPr>
        <w:pStyle w:val="ListParagraph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Введение</w:t>
      </w: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3                                                         </w:t>
      </w:r>
    </w:p>
    <w:p>
      <w:pPr>
        <w:pStyle w:val="ListParagraph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Основная часть                                                                                                               4</w:t>
      </w:r>
    </w:p>
    <w:p>
      <w:pPr>
        <w:pStyle w:val="ListParagraph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Приложения                                                                                                                  12</w:t>
      </w:r>
    </w:p>
    <w:p>
      <w:pPr>
        <w:shd w:val="clear" w:color="auto" w:fill="ffffff"/>
        <w:spacing w:after="0" w:line="240" w:lineRule="auto"/>
        <w:jc w:val="right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jc w:val="right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jc w:val="right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jc w:val="right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jc w:val="right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jc w:val="right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jc w:val="right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jc w:val="right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b/>
          <w:color w:val="000000"/>
          <w:sz w:val="28"/>
          <w:szCs w:val="28"/>
        </w:rPr>
      </w:pPr>
      <w:r>
        <w:rPr>
          <w:rFonts w:ascii="Times New Roman" w:cs="Times New Roman" w:eastAsia="Times New Roman" w:hAnsi="Times New Roman"/>
          <w:b/>
          <w:color w:val="000000"/>
          <w:sz w:val="28"/>
          <w:szCs w:val="28"/>
        </w:rPr>
        <w:t xml:space="preserve">Введение 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Одним из важнейших условий активизации познавательной деятельности  студентов, развития их самостоятельности, мышления, является игра.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Интеллектуальная игра – неотъемлемая часть учебного процесса, одна из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форм обобщения и закрепления материала, является той формой учебной деятельности, которая может повлиять на развитие личности. Участвуя в игре  студент проявляет стремление к самореализации, у него формируются навыки  планирования и самоконтроля, ему приходится проявлять системность, креативность  и критичность мышления.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Финансовая М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озгобойня - увлекательный и веселый способ проверить свою эрудицию, знания, быстроту реакции, сообразительность.</w:t>
      </w:r>
      <w:r>
        <w:rPr>
          <w:rFonts w:ascii="Times New Roman" w:cs="Times New Roman" w:hAnsi="Times New Roman"/>
          <w:sz w:val="24"/>
          <w:szCs w:val="24"/>
        </w:rPr>
        <w:t xml:space="preserve"> Игра проводится в формате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популярных на сегодняшний день интеллектуальных квизов. . Отличие от других  таких интеллектуальных игр было то, что все категории вопросов так или иначе были связаны с экономикой, финансами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, предпринимательской деятельностью.</w:t>
      </w: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b/>
          <w:bCs/>
          <w:color w:val="000000"/>
        </w:rPr>
        <w:t>Формат игры "Финансовая Мозгобойня"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 xml:space="preserve">Игра состоит из 35 вопросов, разделённых на </w:t>
      </w:r>
      <w:r>
        <w:rPr>
          <w:color w:val="000000"/>
        </w:rPr>
        <w:t>7</w:t>
      </w:r>
      <w:r>
        <w:rPr>
          <w:color w:val="000000"/>
        </w:rPr>
        <w:t xml:space="preserve"> туров.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1</w:t>
      </w:r>
      <w:r>
        <w:rPr>
          <w:color w:val="000000"/>
        </w:rPr>
        <w:t xml:space="preserve"> тур</w:t>
      </w:r>
      <w:r>
        <w:rPr>
          <w:color w:val="000000"/>
        </w:rPr>
        <w:t xml:space="preserve"> —</w:t>
      </w:r>
      <w:r>
        <w:rPr>
          <w:color w:val="000000"/>
        </w:rPr>
        <w:t xml:space="preserve"> пробный , задаются легкие вопрос, связанные с экономикой, финансами.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2</w:t>
      </w:r>
      <w:r>
        <w:rPr>
          <w:color w:val="000000"/>
        </w:rPr>
        <w:t xml:space="preserve"> тур</w:t>
      </w:r>
      <w:r>
        <w:rPr>
          <w:color w:val="000000"/>
        </w:rPr>
        <w:t xml:space="preserve">  — </w:t>
      </w:r>
      <w:r>
        <w:rPr>
          <w:color w:val="000000"/>
        </w:rPr>
        <w:t xml:space="preserve"> интеллектуальный тур, в котором надо угадать терм</w:t>
      </w:r>
      <w:r>
        <w:rPr>
          <w:color w:val="000000"/>
        </w:rPr>
        <w:t>ин, дополнить цитату или факт.</w:t>
      </w:r>
      <w:r>
        <w:rPr>
          <w:color w:val="000000"/>
        </w:rPr>
        <w:br w:type="textWrapping"/>
      </w:r>
      <w:r>
        <w:rPr>
          <w:color w:val="000000"/>
        </w:rPr>
        <w:t>3</w:t>
      </w:r>
      <w:r>
        <w:rPr>
          <w:color w:val="000000"/>
        </w:rPr>
        <w:t xml:space="preserve"> тур</w:t>
      </w:r>
      <w:r>
        <w:rPr>
          <w:color w:val="000000"/>
        </w:rPr>
        <w:t xml:space="preserve"> — </w:t>
      </w:r>
      <w:r>
        <w:rPr>
          <w:color w:val="000000"/>
        </w:rPr>
        <w:t>визуальный тур, в котором нужно отгадать кадр или изображение.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4</w:t>
      </w:r>
      <w:r>
        <w:rPr>
          <w:color w:val="000000"/>
        </w:rPr>
        <w:t xml:space="preserve"> тур</w:t>
      </w:r>
      <w:r>
        <w:rPr>
          <w:color w:val="000000"/>
        </w:rPr>
        <w:t xml:space="preserve"> —  интеллектуальный тур, в котором надо угадать термин, дополнить цитату или факт.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5</w:t>
      </w:r>
      <w:r>
        <w:rPr>
          <w:color w:val="000000"/>
        </w:rPr>
        <w:t xml:space="preserve"> тур</w:t>
      </w:r>
      <w:r>
        <w:rPr>
          <w:color w:val="000000"/>
        </w:rPr>
        <w:t xml:space="preserve"> —  интеллектуальный тур, в котором надо угадать термин, дополнить цитату или факт.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6</w:t>
      </w:r>
      <w:r>
        <w:rPr>
          <w:color w:val="000000"/>
        </w:rPr>
        <w:t xml:space="preserve"> </w:t>
      </w:r>
      <w:r>
        <w:rPr>
          <w:color w:val="000000"/>
        </w:rPr>
        <w:t>тур</w:t>
      </w:r>
      <w:r>
        <w:rPr>
          <w:color w:val="000000"/>
        </w:rPr>
        <w:t>— музыкальный тур, в котором по звучащему фрагменту нужно отгадать исполнителя или композитора.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7</w:t>
      </w:r>
      <w:r>
        <w:rPr>
          <w:color w:val="000000"/>
        </w:rPr>
        <w:t xml:space="preserve"> тур</w:t>
      </w:r>
      <w:r>
        <w:rPr>
          <w:color w:val="000000"/>
        </w:rPr>
        <w:t xml:space="preserve"> —</w:t>
      </w:r>
      <w:r>
        <w:rPr>
          <w:color w:val="000000"/>
        </w:rPr>
        <w:t xml:space="preserve"> блиц-тур.</w:t>
      </w:r>
      <w:r>
        <w:rPr>
          <w:color w:val="000000"/>
        </w:rPr>
        <w:br w:type="textWrapping"/>
      </w: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Основная часть:</w:t>
      </w: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b/>
          <w:color w:val="000000"/>
          <w:sz w:val="24"/>
          <w:szCs w:val="24"/>
        </w:rPr>
        <w:t>Цель проведения</w:t>
      </w: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: создать условия для развития у  студентов ключевых компетенций: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общекультурной (умение ставить цель деятельности, определять пути ее  достижения, оценивать результаты деятельности; умение разрешать  проблемные ситуации);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учебно-познавательной (использование полученной ранее информации для   решения учебных ситуаций и задач);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коммуникативной (учиться работать в группе, взаимодействовать с партнерами для  получения общего результата).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b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b/>
          <w:color w:val="000000"/>
          <w:sz w:val="24"/>
          <w:szCs w:val="24"/>
        </w:rPr>
        <w:t>Задачи: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обучающая – формировать у обучающихся умение решать логические задачи;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развивающая – учить анализировать логическую задачу, правильно выбирать способы решения логических задач и ситуаций;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воспитательная – развивать интерес к рассматриваемой проблеме и активность, направленную на решение логических задач и ситуаций.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Время проведения – 80 мин.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b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b/>
          <w:color w:val="000000"/>
          <w:sz w:val="24"/>
          <w:szCs w:val="24"/>
        </w:rPr>
        <w:t>Предварительная подготовка: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Составить задания.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Сделать презентацию игры.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 xml:space="preserve">Сделать </w:t>
      </w: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бланки. ( бланк для внесения ответов, бланк листок успокоения.)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Студенты предварительно должны придумать название команд и сообщить ведущему.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b/>
          <w:color w:val="000000"/>
          <w:sz w:val="24"/>
          <w:szCs w:val="24"/>
        </w:rPr>
      </w:pP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b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b/>
          <w:color w:val="000000"/>
          <w:sz w:val="24"/>
          <w:szCs w:val="24"/>
        </w:rPr>
        <w:t>Действующие лица: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Ведущий- преподаватель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 xml:space="preserve">демонстратор-преподаватель или студент 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студенты-помощниким(собирают бланки</w:t>
      </w: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, смотрят за дисциплиной)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студенты –участники, от 4 групп, группы от 4 до 7 студентов.</w:t>
      </w:r>
    </w:p>
    <w:p>
      <w:pPr>
        <w:shd w:val="clear" w:color="auto" w:fill="ffffff"/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cs="Times New Roman" w:eastAsia="Times New Roman" w:hAnsi="Times New Roman"/>
          <w:color w:val="000000"/>
          <w:sz w:val="24"/>
          <w:szCs w:val="24"/>
        </w:rPr>
        <w:t>Оборудование: стулья, столы, мультимедийное оборудование.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b/>
          <w:bCs/>
          <w:color w:val="000000"/>
        </w:rPr>
        <w:t>Методическое оснащение мероприятия: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Материально – техническое оснащение компьютер, мультимедийный проектор, проекционная доска, столы, стулья.  белая бумага, ручки.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Дидактическое обеспечение: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мультимедийная презентация,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раздаточный материал.</w:t>
      </w:r>
    </w:p>
    <w:p>
      <w:pPr>
        <w:pStyle w:val="Normal(Web)"/>
        <w:shd w:val="clear" w:color="auto" w:fill="ffffff"/>
        <w:spacing w:before="0" w:after="0"/>
        <w:rPr>
          <w:b/>
          <w:bCs/>
          <w:color w:val="000000"/>
        </w:rPr>
      </w:pP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b/>
          <w:bCs/>
          <w:color w:val="000000"/>
        </w:rPr>
        <w:t>Ход мероприятия</w:t>
      </w:r>
      <w:r>
        <w:rPr>
          <w:b/>
          <w:bCs/>
          <w:color w:val="000000"/>
        </w:rPr>
        <w:t>: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В кабинете (актовом зале) столы и стулья расставлены таким образом, чтобы каждая команда сидела отдельно от других</w:t>
      </w:r>
      <w:r>
        <w:rPr>
          <w:color w:val="000000"/>
        </w:rPr>
        <w:t>. Ведущий приветствует участников игры, представляет команды, объясняет правила игры.</w:t>
      </w:r>
    </w:p>
    <w:p>
      <w:pPr>
        <w:pStyle w:val="Normal(Web)"/>
        <w:shd w:val="clear" w:color="auto" w:fill="ffffff"/>
        <w:spacing w:before="0" w:after="0"/>
        <w:rPr>
          <w:b/>
          <w:color w:val="000000"/>
        </w:rPr>
      </w:pPr>
      <w:r>
        <w:rPr>
          <w:i/>
          <w:color w:val="000000"/>
        </w:rPr>
        <w:t>Правила игры</w:t>
      </w:r>
      <w:r>
        <w:rPr>
          <w:b/>
          <w:color w:val="000000"/>
        </w:rPr>
        <w:t>: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 xml:space="preserve">В игре 7 туров по 5 вопросов. Это  текстовые вопросы, музыкальные вопросы, вопросы с картинками. </w:t>
      </w:r>
      <w:r>
        <w:rPr>
          <w:color w:val="000000"/>
        </w:rPr>
        <w:br w:type="textWrapping"/>
      </w:r>
      <w:r>
        <w:rPr>
          <w:color w:val="000000"/>
        </w:rPr>
        <w:t>Вопросы первых шести туров  демонстрируются на большом экране по 40-60 секунд и зачитываются ведущим. Затем, после объявления всех пяти вопросов тура, они быстро зачитываются еще раз подряд и без задержек, после чего запускается обратный отсчёт 100 секунд. За это время необходимо обдумать и внести свои ответы на листочки. По истечении 100 секунд листочки с ответами сдаются. 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7 тур является блиц – туром, подробные правила его будут сказаны перед 7 туром.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    Вопросы  седьмого тура не остаются на экране и не повторяются. На обдумывание и запись на листочек дается всего 60 секунд. Команда сама решает, какой стоимости будет каждый ответ тура: галочка напротив ответа означает его оценивание по системе +2/-2 (правильный/неправильный), а отсутствие оной означает традиционное оценивание (1/0). </w:t>
      </w:r>
      <w:r>
        <w:rPr>
          <w:rFonts w:ascii="Times New Roman" w:cs="Times New Roman" w:hAnsi="Times New Roman"/>
          <w:sz w:val="24"/>
          <w:szCs w:val="24"/>
        </w:rPr>
        <w:t>Таким образом максимум в Блице +10 очков, минимум -10. </w:t>
      </w:r>
      <w:r>
        <w:rPr>
          <w:rFonts w:ascii="Times New Roman" w:cs="Times New Roman" w:hAnsi="Times New Roman"/>
          <w:sz w:val="24"/>
          <w:szCs w:val="24"/>
        </w:rPr>
        <w:br w:type="textWrapping"/>
      </w:r>
      <w:r>
        <w:rPr>
          <w:rFonts w:ascii="Times New Roman" w:cs="Times New Roman" w:hAnsi="Times New Roman"/>
          <w:sz w:val="24"/>
          <w:szCs w:val="24"/>
        </w:rPr>
        <w:t>В случае, если после 7 тура несколько команд набрали равное количество очков, выше в итоговой табели оказывается команда, которая была лучше в последнем туре (если и там равенство, то смотрим 6 тур, 5 тур и т.д.).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  <w:r>
        <w:rPr>
          <w:rFonts w:ascii="Times New Roman" w:cs="Times New Roman" w:hAnsi="Times New Roman"/>
          <w:b/>
          <w:sz w:val="28"/>
          <w:szCs w:val="28"/>
        </w:rPr>
        <w:t>Вопросы и ответы 1 тура.</w:t>
      </w: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</w:p>
    <w:p>
      <w:pPr>
        <w:pStyle w:val="ListParagraph"/>
        <w:numPr>
          <w:ilvl w:val="0"/>
          <w:numId w:val="1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Мотоцикл экономит время, а велосипед…(деньги)</w:t>
      </w:r>
    </w:p>
    <w:p>
      <w:pPr>
        <w:pStyle w:val="ListParagraph"/>
        <w:spacing w:after="0" w:line="240" w:lineRule="auto"/>
        <w:ind w:left="720" w:right="0" w:firstLine="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1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Назовите русского художника-иконописца с валютной фамилией (Рублев)</w:t>
      </w:r>
    </w:p>
    <w:p>
      <w:pPr>
        <w:pStyle w:val="ListParagraph"/>
        <w:spacing w:after="0" w:line="240" w:lineRule="auto"/>
        <w:ind w:left="720" w:right="0" w:firstLine="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1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С каким городом можно познакомиться с помощью российской купюры достоинством в 100 рублей?  (Москва)</w:t>
      </w:r>
    </w:p>
    <w:p>
      <w:pPr>
        <w:pStyle w:val="ListParagraph"/>
        <w:spacing w:after="0" w:line="240" w:lineRule="auto"/>
        <w:ind w:left="720" w:right="0" w:firstLine="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1"/>
        </w:numPr>
        <w:spacing w:after="0" w:line="240" w:lineRule="auto"/>
        <w:ind w:left="696" w:hanging="336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Как называли на Руси купцов, изгнанных из гильдии за систематические обманы и обвесы покупателей?</w:t>
      </w:r>
      <w:r>
        <w:rPr>
          <w:rFonts w:ascii="Times New Roman" w:cs="Times New Roman" w:hAnsi="Times New Roman"/>
          <w:sz w:val="24"/>
          <w:szCs w:val="24"/>
        </w:rPr>
        <w:t xml:space="preserve"> (Разгильдяи)</w:t>
      </w:r>
    </w:p>
    <w:p>
      <w:pPr>
        <w:pStyle w:val="ListParagraph"/>
        <w:spacing w:after="0" w:line="240" w:lineRule="auto"/>
        <w:ind w:left="696" w:right="0" w:firstLine="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1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Первый известный закон о борьбе </w:t>
      </w:r>
      <w:r>
        <w:rPr>
          <w:rFonts w:ascii="Times New Roman" w:cs="Times New Roman" w:hAnsi="Times New Roman"/>
          <w:b/>
          <w:bCs/>
          <w:sz w:val="24"/>
          <w:szCs w:val="24"/>
        </w:rPr>
        <w:t xml:space="preserve">с этими </w:t>
      </w:r>
      <w:r>
        <w:rPr>
          <w:rFonts w:ascii="Times New Roman" w:cs="Times New Roman" w:hAnsi="Times New Roman"/>
          <w:sz w:val="24"/>
          <w:szCs w:val="24"/>
        </w:rPr>
        <w:t>финансовыми  преступниками</w:t>
      </w:r>
    </w:p>
    <w:p>
      <w:pPr>
        <w:pStyle w:val="ListParagraph"/>
        <w:spacing w:after="0" w:line="240" w:lineRule="auto"/>
        <w:ind w:left="696" w:firstLine="12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приняли  в Древнем Риме в IV веке до н.э. Назовите </w:t>
      </w:r>
      <w:r>
        <w:rPr>
          <w:rFonts w:ascii="Times New Roman" w:cs="Times New Roman" w:hAnsi="Times New Roman"/>
          <w:b/>
          <w:bCs/>
          <w:sz w:val="24"/>
          <w:szCs w:val="24"/>
        </w:rPr>
        <w:t xml:space="preserve">этих </w:t>
      </w:r>
      <w:r>
        <w:rPr>
          <w:rFonts w:ascii="Times New Roman" w:cs="Times New Roman" w:hAnsi="Times New Roman"/>
          <w:sz w:val="24"/>
          <w:szCs w:val="24"/>
        </w:rPr>
        <w:t>людей. </w:t>
      </w:r>
      <w:r>
        <w:rPr>
          <w:rFonts w:ascii="Times New Roman" w:cs="Times New Roman" w:hAnsi="Times New Roman"/>
          <w:sz w:val="24"/>
          <w:szCs w:val="24"/>
        </w:rPr>
        <w:t>(Фальшивомонетчики)</w:t>
      </w:r>
      <w:r>
        <w:rPr>
          <w:rFonts w:ascii="Times New Roman" w:cs="Times New Roman" w:hAnsi="Times New Roman"/>
          <w:sz w:val="24"/>
          <w:szCs w:val="24"/>
        </w:rPr>
        <w:t xml:space="preserve"> 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  <w:r>
        <w:rPr>
          <w:rFonts w:ascii="Times New Roman" w:cs="Times New Roman" w:hAnsi="Times New Roman"/>
          <w:b/>
          <w:sz w:val="28"/>
          <w:szCs w:val="28"/>
        </w:rPr>
        <w:t>Вопросы и ответы  2 тура.</w:t>
      </w: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</w:p>
    <w:p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В юности его прозвище было «Мавр». Он очень много дрался, чуть не погиб на дуэли, бил уличные фонари и ходил с пистолетом. Однако умудрился получить блестящее образование.  Написал  огромный труд о мировом богатстве, но сам при этом жил в нищете.(Карл Маркс)</w:t>
      </w:r>
    </w:p>
    <w:p>
      <w:pPr>
        <w:pStyle w:val="ListParagraph"/>
        <w:spacing w:after="0" w:line="240" w:lineRule="auto"/>
        <w:ind w:left="720" w:right="0" w:firstLine="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Сергей Настин, говоря о торговце наркотиками, отмечает, что благодаря внешнему виду дельца наконец-то понял настоящий смысл фразеологизма. Какого именно? </w:t>
      </w:r>
      <w:r>
        <w:rPr>
          <w:rFonts w:ascii="Times New Roman" w:cs="Times New Roman" w:hAnsi="Times New Roman"/>
          <w:sz w:val="24"/>
          <w:szCs w:val="24"/>
        </w:rPr>
        <w:t>(</w:t>
      </w:r>
      <w:r>
        <w:rPr>
          <w:rFonts w:ascii="Times New Roman" w:cs="Times New Roman" w:hAnsi="Times New Roman"/>
          <w:sz w:val="24"/>
          <w:szCs w:val="24"/>
        </w:rPr>
        <w:t>Быть одетым с иголочки)</w:t>
      </w:r>
    </w:p>
    <w:p>
      <w:pPr>
        <w:pStyle w:val="ListParagraph"/>
        <w:spacing w:after="0" w:line="240" w:lineRule="auto"/>
        <w:ind w:left="720" w:right="0" w:firstLine="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Английский экономист Френсис Бэкон высказал замечательную мысль: “ЭТО – очень дурной господин, но весьма хороший слуга”. О чем речь?  (Деньги).</w:t>
      </w:r>
    </w:p>
    <w:p>
      <w:pPr>
        <w:pStyle w:val="ListParagraph"/>
        <w:spacing w:after="0" w:line="240" w:lineRule="auto"/>
        <w:ind w:left="720" w:right="0" w:firstLine="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Как прозвали в финансовой прессе облигации сроком на  100 лет, выпущенные компанией Уолта Диснея? </w:t>
      </w:r>
      <w:r>
        <w:rPr>
          <w:rFonts w:ascii="Times New Roman" w:cs="Times New Roman" w:hAnsi="Times New Roman"/>
          <w:sz w:val="24"/>
          <w:szCs w:val="24"/>
        </w:rPr>
        <w:t xml:space="preserve"> (Спящая красавица)</w:t>
      </w:r>
    </w:p>
    <w:p>
      <w:pPr>
        <w:pStyle w:val="ListParagraph"/>
        <w:spacing w:after="0" w:line="240" w:lineRule="auto"/>
        <w:ind w:left="720" w:right="0" w:firstLine="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ПЕРВЫЙ выдал деньги Герману в «Пиковой даме». ВТОРОЙ, возможно, выдавал деньги некоторым из вас. Назовите ПЕРВОГО и ВТОРОГО, отличающихся одной буквой.(Банкомет,</w:t>
      </w:r>
      <w:r>
        <w:rPr>
          <w:rFonts w:ascii="Times New Roman" w:cs="Times New Roman" w:hAnsi="Times New Roman"/>
          <w:sz w:val="24"/>
          <w:szCs w:val="24"/>
        </w:rPr>
        <w:t xml:space="preserve"> </w:t>
      </w:r>
      <w:r>
        <w:rPr>
          <w:rFonts w:ascii="Times New Roman" w:cs="Times New Roman" w:hAnsi="Times New Roman"/>
          <w:sz w:val="24"/>
          <w:szCs w:val="24"/>
        </w:rPr>
        <w:t>банкомат)</w:t>
      </w:r>
    </w:p>
    <w:p>
      <w:pPr>
        <w:pStyle w:val="ListParagraph"/>
        <w:spacing w:after="0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  <w:r>
        <w:rPr>
          <w:rFonts w:ascii="Times New Roman" w:cs="Times New Roman" w:hAnsi="Times New Roman"/>
          <w:b/>
          <w:sz w:val="28"/>
          <w:szCs w:val="28"/>
        </w:rPr>
        <w:t>Вопросы и ответы   3 тура.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inline distT="0" distB="0" distL="0" distR="0">
            <wp:extent cx="2742565" cy="1900555"/>
            <wp:effectExtent l="0" t="0" r="0" b="0"/>
            <wp:docPr id="33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1"/>
                    <pic:cNvPicPr>
                      <a:picLocks noGrp="1"/>
                    </pic:cNvPicPr>
                  </pic:nvPicPr>
                  <pic:blipFill>
                    <a:blip r:embed="rId39"/>
                    <a:srcRect l="11699" t="6528" r="12497" b="1305"/>
                    <a:stretch/>
                  </pic:blipFill>
                  <pic:spPr>
                    <a:xfrm>
                      <a:off x="0" y="0"/>
                      <a:ext cx="2742565" cy="190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В каком городе расположен этот памятник? (В парке 850-летия Москвы в 2008 году открылся новый памятник пятаку. Студенты называют это место "Счастливым пятаком". Памятник представляет собой советскую пятикопеечную монету, расположенную в центре гранитного круга на котором имеются названия практически всех московских ВУЗов. )</w:t>
      </w: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Какой товар рекламируется на данном изображении?       (Зачем рыбке каска? Всё очень просто — Glassex настолько хорошо чистит стекла, что их просто не видно. И чтобы рыбка не ударилась головой о стенку аквариума, ей нужна защитная каска. )</w:t>
      </w: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inline distT="0" distB="0" distL="0" distR="0">
            <wp:extent cx="3992460" cy="1962150"/>
            <wp:effectExtent l="0" t="0" r="0" b="0"/>
            <wp:docPr id="34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"/>
                    <pic:cNvPicPr>
                      <a:picLocks noGrp="1"/>
                    </pic:cNvPicPr>
                  </pic:nvPicPr>
                  <pic:blipFill>
                    <a:blip r:embed="rId40"/>
                    <a:srcRect r="15179" b="6235"/>
                    <a:stretch/>
                  </pic:blipFill>
                  <pic:spPr>
                    <a:xfrm>
                      <a:off x="0" y="0"/>
                      <a:ext cx="399246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Кому посвящен этот памятник ? В каком городе находится?       ( Памятник  посвящённый «челнокам» — предпринимателям 1990-х, снабжавшим страну товарами из Китая, Турции и Польши. Расположен в городе Бердске Новосибирской области. )</w:t>
      </w: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inline distT="0" distB="0" distL="0" distR="0">
            <wp:extent cx="3435350" cy="2476315"/>
            <wp:effectExtent l="0" t="0" r="0" b="0"/>
            <wp:docPr id="35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4"/>
                    <pic:cNvPicPr>
                      <a:picLocks noGrp="1"/>
                    </pic:cNvPicPr>
                  </pic:nvPicPr>
                  <pic:blipFill>
                    <a:blip r:embed="rId41"/>
                    <a:srcRect l="2985" r="2819" b="6490"/>
                    <a:stretch/>
                  </pic:blipFill>
                  <pic:spPr>
                    <a:xfrm>
                      <a:off x="0" y="0"/>
                      <a:ext cx="3435350" cy="247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Что изображено на купюре?        (  Соловецкий монастырь. )</w:t>
      </w: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inline distT="0" distB="0" distL="0" distR="0">
            <wp:extent cx="3797292" cy="1666875"/>
            <wp:effectExtent l="0" t="0" r="0" b="0"/>
            <wp:docPr id="36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8"/>
                    <pic:cNvPicPr/>
                  </pic:nvPicPr>
                  <pic:blipFill>
                    <a:blip r:embed="rId42"/>
                    <a:srcRect l="14431" t="25146" r="14217" b="24818"/>
                    <a:stretch/>
                  </pic:blipFill>
                  <pic:spPr>
                    <a:xfrm>
                      <a:off x="0" y="0"/>
                      <a:ext cx="3797292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inline distT="0" distB="0" distL="0" distR="0">
            <wp:extent cx="3968750" cy="2969890"/>
            <wp:effectExtent l="0" t="0" r="0" b="0"/>
            <wp:docPr id="37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9"/>
                    <pic:cNvPicPr>
                      <a:picLocks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8750" cy="296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Кто  это?</w:t>
      </w:r>
      <w:r>
        <w:rPr>
          <w:rFonts w:ascii="Times New Roman" w:cs="Times New Roman" w:hAnsi="Times New Roman"/>
          <w:b/>
          <w:bCs/>
          <w:color w:val="333333"/>
          <w:sz w:val="24"/>
          <w:szCs w:val="24"/>
          <w:shd w:val="clear" w:color="auto" w:fill="ffffff"/>
        </w:rPr>
        <w:t xml:space="preserve"> </w:t>
      </w:r>
      <w:r>
        <w:rPr>
          <w:rFonts w:ascii="Times New Roman" w:cs="Times New Roman" w:hAnsi="Times New Roman"/>
          <w:b/>
          <w:bCs/>
          <w:color w:val="333333"/>
          <w:sz w:val="24"/>
          <w:szCs w:val="24"/>
          <w:shd w:val="clear" w:color="auto" w:fill="ffffff"/>
        </w:rPr>
        <w:t>(</w:t>
      </w:r>
      <w:r>
        <w:rPr>
          <w:rFonts w:ascii="Times New Roman" w:cs="Times New Roman" w:hAnsi="Times New Roman"/>
          <w:bCs/>
          <w:color w:val="333333"/>
          <w:sz w:val="24"/>
          <w:szCs w:val="24"/>
          <w:shd w:val="clear" w:color="auto" w:fill="ffffff"/>
        </w:rPr>
        <w:t>Эльвира Сахипзадовна Набиуллина</w:t>
      </w:r>
      <w:r>
        <w:rPr>
          <w:rFonts w:ascii="Times New Roman" w:cs="Times New Roman" w:hAnsi="Times New Roman"/>
          <w:bCs/>
          <w:color w:val="333333"/>
          <w:sz w:val="24"/>
          <w:szCs w:val="24"/>
          <w:shd w:val="clear" w:color="auto" w:fill="ffffff"/>
        </w:rPr>
        <w:t>-</w:t>
      </w:r>
      <w:r>
        <w:rPr>
          <w:rFonts w:ascii="Times New Roman" w:cs="Times New Roman" w:hAnsi="Times New Roman"/>
          <w:color w:val="333333"/>
          <w:sz w:val="24"/>
          <w:szCs w:val="24"/>
          <w:shd w:val="clear" w:color="auto" w:fill="ffffff"/>
        </w:rPr>
        <w:t xml:space="preserve"> Председатель Центрального банка Российской Федерации )</w:t>
      </w: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inline distT="0" distB="0" distL="0" distR="0">
            <wp:extent cx="3924300" cy="3438525"/>
            <wp:effectExtent l="0" t="0" r="0" b="0"/>
            <wp:docPr id="38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5"/>
                    <pic:cNvPicPr>
                      <a:picLocks noGrp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inline distT="0" distB="0" distL="0" distR="0">
            <wp:extent cx="4543425" cy="3209925"/>
            <wp:effectExtent l="0" t="0" r="0" b="0"/>
            <wp:docPr id="39" name="Рисунок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10"/>
                    <pic:cNvPicPr/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>
      <w:pPr>
        <w:pStyle w:val="ListParagraph"/>
        <w:spacing w:after="0" w:line="240" w:lineRule="auto"/>
        <w:ind w:left="855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  <w:r>
        <w:rPr>
          <w:rFonts w:ascii="Times New Roman" w:cs="Times New Roman" w:hAnsi="Times New Roman"/>
          <w:b/>
          <w:sz w:val="28"/>
          <w:szCs w:val="28"/>
        </w:rPr>
        <w:t>Вопросы и ответы   4 тура.</w:t>
      </w:r>
    </w:p>
    <w:p>
      <w:pPr>
        <w:spacing w:after="0" w:line="240" w:lineRule="auto"/>
        <w:rPr>
          <w:rFonts w:ascii="Times New Roman" w:cs="Times New Roman" w:hAnsi="Times New Roman"/>
          <w:b/>
          <w:sz w:val="24"/>
          <w:szCs w:val="24"/>
        </w:rPr>
      </w:pPr>
    </w:p>
    <w:p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Начиная с 1922 г. импорт, производство и продажа ЭТОГО в Сингапуре считалась вне закона. Основной причиной этого табу было загрязнение улиц и сложность уборки. Однако новые изменения в законодательстве относительно ЭТОГО продукта позволяют продавать ЭТО, не содержащее сахара, но только в аптеках и только по рецепту. Какой врач может выписать вам рецепт на получение ЭТОГО? ( Стоматолог.)</w:t>
      </w:r>
    </w:p>
    <w:p>
      <w:pPr>
        <w:pStyle w:val="ListParagraph"/>
        <w:spacing w:after="0" w:line="240" w:lineRule="auto"/>
        <w:ind w:left="54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Генри Форд писал, что если бы он делал только то, что хотят от него люди, они бы до сих пор ДЕЛАЛИ ЭТО. Какие  слова  заменены словами ДЕЛАЛИ ЭТО?</w:t>
      </w:r>
      <w:r>
        <w:rPr>
          <w:rFonts w:ascii="Times New Roman" w:cs="Times New Roman" w:eastAsia="+mn-ea" w:hAnsi="Times New Roman"/>
          <w:color w:val="ffffff"/>
          <w:sz w:val="24"/>
          <w:szCs w:val="24"/>
        </w:rPr>
        <w:t xml:space="preserve"> </w:t>
      </w:r>
      <w:r>
        <w:rPr>
          <w:rFonts w:ascii="Times New Roman" w:cs="Times New Roman" w:eastAsia="+mn-ea" w:hAnsi="Times New Roman"/>
          <w:color w:val="ffffff"/>
          <w:sz w:val="24"/>
          <w:szCs w:val="24"/>
        </w:rPr>
        <w:t>((</w:t>
      </w:r>
      <w:r>
        <w:rPr>
          <w:rFonts w:ascii="Times New Roman" w:cs="Times New Roman" w:hAnsi="Times New Roman"/>
          <w:sz w:val="24"/>
          <w:szCs w:val="24"/>
        </w:rPr>
        <w:t>Ездили на каретах</w:t>
      </w:r>
      <w:r>
        <w:rPr>
          <w:rFonts w:ascii="Times New Roman" w:cs="Times New Roman" w:hAnsi="Times New Roman"/>
          <w:sz w:val="24"/>
          <w:szCs w:val="24"/>
        </w:rPr>
        <w:t>.</w:t>
      </w:r>
    </w:p>
    <w:p>
      <w:pPr>
        <w:pStyle w:val="ListParagraph"/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«Иранцы бросают свое богатство на пол», — так гласит известное  иранское изречение. О чем это изречение?( О знаменитых персидских коврах ).</w:t>
      </w:r>
    </w:p>
    <w:p>
      <w:pPr>
        <w:pStyle w:val="ListParagraph"/>
        <w:spacing w:after="0" w:line="240" w:lineRule="auto"/>
        <w:ind w:left="54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В Древнем Риме этих служащих ценили так высоко, что даже освобождали от налогов.      Главным орудием их труда были крепкие зубы. Чем же занимались эти люди?        (Выявляли подлинность монет и содержание в них золота, проверяя их «на зуб».)</w:t>
      </w:r>
    </w:p>
    <w:p>
      <w:pPr>
        <w:pStyle w:val="ListParagraph"/>
        <w:spacing w:after="0" w:line="240" w:lineRule="auto"/>
        <w:ind w:left="540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«Наш мир открыт каждому», — таков лозунг фирмы, спрос</w:t>
      </w:r>
      <w:r>
        <w:rPr>
          <w:rFonts w:ascii="Times New Roman" w:cs="Times New Roman" w:hAnsi="Times New Roman"/>
          <w:b/>
          <w:bCs/>
          <w:sz w:val="24"/>
          <w:szCs w:val="24"/>
        </w:rPr>
        <w:t> </w:t>
      </w:r>
      <w:r>
        <w:rPr>
          <w:rFonts w:ascii="Times New Roman" w:cs="Times New Roman" w:hAnsi="Times New Roman"/>
          <w:sz w:val="24"/>
          <w:szCs w:val="24"/>
        </w:rPr>
        <w:t>на продукцию которой повышается несколько раз в год. Какую  продукцию предлагает эта фирма? (</w:t>
      </w:r>
      <w:r>
        <w:rPr>
          <w:rFonts w:ascii="Times New Roman" w:cs="Times New Roman" w:hAnsi="Times New Roman"/>
          <w:b/>
          <w:bCs/>
          <w:sz w:val="24"/>
          <w:szCs w:val="24"/>
        </w:rPr>
        <w:t>Открытки. </w:t>
      </w:r>
      <w:r>
        <w:rPr>
          <w:rFonts w:ascii="Times New Roman" w:cs="Times New Roman" w:hAnsi="Times New Roman"/>
          <w:sz w:val="24"/>
          <w:szCs w:val="24"/>
        </w:rPr>
        <w:t xml:space="preserve"> </w:t>
      </w:r>
      <w:r>
        <w:rPr>
          <w:rFonts w:ascii="Times New Roman" w:cs="Times New Roman" w:hAnsi="Times New Roman"/>
          <w:sz w:val="24"/>
          <w:szCs w:val="24"/>
        </w:rPr>
        <w:t xml:space="preserve"> «Наш мир ОТКРЫТ КАждому».)</w:t>
      </w:r>
    </w:p>
    <w:p>
      <w:pPr>
        <w:pStyle w:val="ListParagraph"/>
        <w:spacing w:after="0" w:line="240" w:lineRule="auto"/>
        <w:ind w:left="540"/>
        <w:rPr>
          <w:rFonts w:ascii="Times New Roman" w:cs="Times New Roman" w:hAnsi="Times New Roman"/>
          <w:sz w:val="28"/>
          <w:szCs w:val="28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  <w:r>
        <w:rPr>
          <w:rFonts w:ascii="Times New Roman" w:cs="Times New Roman" w:hAnsi="Times New Roman"/>
          <w:b/>
          <w:sz w:val="28"/>
          <w:szCs w:val="28"/>
        </w:rPr>
        <w:t>Вопросы и ответы   5  тура.</w:t>
      </w:r>
    </w:p>
    <w:p>
      <w:pPr>
        <w:spacing w:after="0" w:line="240" w:lineRule="auto"/>
        <w:rPr>
          <w:rFonts w:ascii="Times New Roman" w:cs="Times New Roman" w:hAnsi="Times New Roman"/>
          <w:b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 1.   Какому литературному герою    посвящены эти пушкинские  строки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    «И был глубокий эконом,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     </w:t>
      </w:r>
      <w:r>
        <w:rPr>
          <w:rFonts w:ascii="Times New Roman" w:cs="Times New Roman" w:hAnsi="Times New Roman"/>
          <w:sz w:val="24"/>
          <w:szCs w:val="24"/>
        </w:rPr>
        <w:t xml:space="preserve">То есть умел судить о том, </w:t>
      </w:r>
    </w:p>
    <w:p>
      <w:pPr>
        <w:pStyle w:val="ListParagraph"/>
        <w:spacing w:after="0" w:line="240" w:lineRule="auto"/>
        <w:ind w:left="540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</w:t>
      </w:r>
      <w:r>
        <w:rPr>
          <w:rFonts w:ascii="Times New Roman" w:cs="Times New Roman" w:hAnsi="Times New Roman"/>
          <w:sz w:val="24"/>
          <w:szCs w:val="24"/>
        </w:rPr>
        <w:t>Как государство богатеет,</w:t>
      </w:r>
    </w:p>
    <w:p>
      <w:pPr>
        <w:pStyle w:val="ListParagraph"/>
        <w:spacing w:after="0" w:line="240" w:lineRule="auto"/>
        <w:ind w:left="540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</w:t>
      </w:r>
      <w:r>
        <w:rPr>
          <w:rFonts w:ascii="Times New Roman" w:cs="Times New Roman" w:hAnsi="Times New Roman"/>
          <w:sz w:val="24"/>
          <w:szCs w:val="24"/>
        </w:rPr>
        <w:t>И чем живет, и почему</w:t>
      </w:r>
    </w:p>
    <w:p>
      <w:pPr>
        <w:pStyle w:val="ListParagraph"/>
        <w:spacing w:after="0" w:line="240" w:lineRule="auto"/>
        <w:ind w:left="540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</w:t>
      </w:r>
      <w:r>
        <w:rPr>
          <w:rFonts w:ascii="Times New Roman" w:cs="Times New Roman" w:hAnsi="Times New Roman"/>
          <w:sz w:val="24"/>
          <w:szCs w:val="24"/>
        </w:rPr>
        <w:t>Не нужно золота ему,</w:t>
      </w:r>
    </w:p>
    <w:p>
      <w:pPr>
        <w:pStyle w:val="ListParagraph"/>
        <w:spacing w:after="0" w:line="240" w:lineRule="auto"/>
        <w:ind w:left="540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</w:t>
      </w:r>
      <w:r>
        <w:rPr>
          <w:rFonts w:ascii="Times New Roman" w:cs="Times New Roman" w:hAnsi="Times New Roman"/>
          <w:sz w:val="24"/>
          <w:szCs w:val="24"/>
        </w:rPr>
        <w:t>Когда простой продукт имеет…</w:t>
      </w:r>
      <w:r>
        <w:rPr>
          <w:rFonts w:ascii="Times New Roman" w:cs="Times New Roman" w:eastAsia="+mn-ea" w:hAnsi="Times New Roman"/>
          <w:color w:val="ffffff"/>
          <w:sz w:val="24"/>
          <w:szCs w:val="24"/>
        </w:rPr>
        <w:t xml:space="preserve">              </w:t>
      </w:r>
      <w:r>
        <w:rPr>
          <w:rFonts w:ascii="Times New Roman" w:cs="Times New Roman" w:hAnsi="Times New Roman"/>
          <w:sz w:val="24"/>
          <w:szCs w:val="24"/>
        </w:rPr>
        <w:t xml:space="preserve">Евгений Онегин </w:t>
      </w:r>
    </w:p>
    <w:p>
      <w:pPr>
        <w:spacing w:after="0" w:line="240" w:lineRule="auto"/>
        <w:ind w:left="708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ind w:left="708" w:hanging="288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2    В последние годы объем продаж наручных часов, как сообщили лидеры в этой области швейцарцы, уменьшился на 25%. По их мнению, всему виной именно ЭТО.  (Сотовый телефон. )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ind w:left="696" w:hanging="696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 3.    Появление дробей было связано с жизненной необходимостью справедливого раздела имущества. Как вы думаете, с чем связано появление в математике отрицательных чисел? (</w:t>
      </w:r>
      <w:r>
        <w:rPr>
          <w:rFonts w:ascii="Times New Roman" w:cs="Times New Roman" w:hAnsi="Times New Roman"/>
          <w:i/>
          <w:iCs/>
          <w:sz w:val="24"/>
          <w:szCs w:val="24"/>
        </w:rPr>
        <w:t xml:space="preserve"> </w:t>
      </w:r>
      <w:r>
        <w:rPr>
          <w:rFonts w:ascii="Times New Roman" w:cs="Times New Roman" w:hAnsi="Times New Roman"/>
          <w:sz w:val="24"/>
          <w:szCs w:val="24"/>
        </w:rPr>
        <w:t>Они возникли для  записи долга. )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Ранее, у известного нам бренда, был достаточно сложный логотип: был изображён сэр Исаак Ньютон , дерево, развивающиеся ленты с надписями и вообще, Общая композиция логотипа была сильно перегружена деталями, поэтому менее чем через год этот логотип был изменен и упрощен. Что сегодня изображено на логотипе этой компании?  (Надкушенное яблоко )</w:t>
      </w:r>
    </w:p>
    <w:p>
      <w:pPr>
        <w:pStyle w:val="ListParagraph"/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Жители»  Бервона  в Австралии устроили забастовку из-за низких зарплат, не покрывающих расходов на жизнь там. По словам бастующих они получают меньше , чем их «коллеги» в аналогичных местах. Ранее состоялся еще один конфликт, когда было решено запретить курение. Что же это за место такое, Бервон? (Тюрьма).</w:t>
      </w:r>
    </w:p>
    <w:p>
      <w:pPr>
        <w:spacing w:after="0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  <w:r>
        <w:rPr>
          <w:rFonts w:ascii="Times New Roman" w:cs="Times New Roman" w:hAnsi="Times New Roman"/>
          <w:b/>
          <w:sz w:val="28"/>
          <w:szCs w:val="28"/>
        </w:rPr>
        <w:t>Вопросы и ответы   6  тура.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ind w:left="528" w:hanging="528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1.Угадать исполнителя по фрагменту музыки. Звучит песня «Менеджер» .  Сергей Шнур</w:t>
      </w:r>
      <w:r>
        <w:rPr>
          <w:rFonts w:ascii="Times New Roman" w:cs="Times New Roman" w:hAnsi="Times New Roman"/>
          <w:sz w:val="24"/>
          <w:szCs w:val="24"/>
        </w:rPr>
        <w:t>ов</w:t>
      </w:r>
      <w:r>
        <w:rPr>
          <w:rFonts w:ascii="Times New Roman" w:cs="Times New Roman" w:hAnsi="Times New Roman"/>
          <w:sz w:val="24"/>
          <w:szCs w:val="24"/>
        </w:rPr>
        <w:t>.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ind w:left="636" w:hanging="636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2.</w:t>
      </w:r>
      <w:r>
        <w:rPr>
          <w:rFonts w:ascii="Times New Roman" w:cs="Times New Roman" w:hAnsi="Times New Roman"/>
          <w:sz w:val="24"/>
          <w:szCs w:val="24"/>
        </w:rPr>
        <w:t xml:space="preserve">  Один из участников этой группы учился в Московском  технологическом  институте на факультете  «Экономика и финансы». Что за группа и кто этот участник? Звучит композация группы «Алиса»</w:t>
      </w:r>
      <w:r>
        <w:rPr>
          <w:rFonts w:ascii="Times New Roman" w:cs="Times New Roman" w:hAnsi="Times New Roman"/>
          <w:sz w:val="24"/>
          <w:szCs w:val="24"/>
        </w:rPr>
        <w:t>.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pStyle w:val="ListParagraph"/>
        <w:numPr>
          <w:ilvl w:val="0"/>
          <w:numId w:val="6"/>
        </w:num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Угадать фильм по кадру. Звучит кадр из фильма «Приключения Буратино»</w:t>
      </w:r>
      <w:r>
        <w:rPr>
          <w:rFonts w:ascii="Times New Roman" w:cs="Times New Roman" w:hAnsi="Times New Roman"/>
          <w:sz w:val="24"/>
          <w:szCs w:val="24"/>
        </w:rPr>
        <w:t>.</w:t>
      </w:r>
    </w:p>
    <w:p>
      <w:pPr>
        <w:pStyle w:val="ListParagraph"/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pStyle w:val="Heading1"/>
        <w:shd w:val="clear" w:color="auto" w:fill="ffffff"/>
        <w:spacing w:before="0" w:after="0"/>
        <w:rPr>
          <w:b w:val="off"/>
          <w:color w:val="010101"/>
          <w:sz w:val="24"/>
          <w:szCs w:val="24"/>
        </w:rPr>
      </w:pPr>
      <w:r>
        <w:rPr>
          <w:b w:val="off"/>
          <w:sz w:val="24"/>
          <w:szCs w:val="24"/>
        </w:rPr>
        <w:t xml:space="preserve">      </w:t>
      </w:r>
      <w:r>
        <w:rPr>
          <w:b w:val="off"/>
          <w:sz w:val="24"/>
          <w:szCs w:val="24"/>
        </w:rPr>
        <w:t xml:space="preserve">4.   </w:t>
      </w:r>
      <w:r>
        <w:rPr>
          <w:b w:val="off"/>
          <w:sz w:val="24"/>
          <w:szCs w:val="24"/>
        </w:rPr>
        <w:t xml:space="preserve">Угадать группу. Звучит песня </w:t>
      </w:r>
      <w:r>
        <w:rPr>
          <w:b w:val="off"/>
          <w:color w:val="010101"/>
          <w:sz w:val="24"/>
          <w:szCs w:val="24"/>
        </w:rPr>
        <w:t xml:space="preserve">Niletto </w:t>
      </w:r>
      <w:r>
        <w:rPr>
          <w:b w:val="off"/>
          <w:color w:val="010101"/>
          <w:sz w:val="24"/>
          <w:szCs w:val="24"/>
        </w:rPr>
        <w:t>–</w:t>
      </w:r>
      <w:r>
        <w:rPr>
          <w:b w:val="off"/>
          <w:color w:val="010101"/>
          <w:sz w:val="24"/>
          <w:szCs w:val="24"/>
        </w:rPr>
        <w:t xml:space="preserve"> </w:t>
      </w:r>
      <w:r>
        <w:rPr>
          <w:b w:val="off"/>
          <w:color w:val="010101"/>
          <w:sz w:val="24"/>
          <w:szCs w:val="24"/>
        </w:rPr>
        <w:t>«</w:t>
      </w:r>
      <w:r>
        <w:rPr>
          <w:b w:val="off"/>
          <w:color w:val="010101"/>
          <w:sz w:val="24"/>
          <w:szCs w:val="24"/>
        </w:rPr>
        <w:t>Платить за дружбу не нужно</w:t>
      </w:r>
      <w:r>
        <w:rPr>
          <w:b w:val="off"/>
          <w:color w:val="010101"/>
          <w:sz w:val="24"/>
          <w:szCs w:val="24"/>
        </w:rPr>
        <w:t>»</w:t>
      </w:r>
    </w:p>
    <w:p>
      <w:pPr>
        <w:pStyle w:val="Heading1"/>
        <w:shd w:val="clear" w:color="auto" w:fill="ffffff"/>
        <w:spacing w:before="0" w:after="0"/>
        <w:rPr>
          <w:b w:val="off"/>
          <w:color w:val="010101"/>
          <w:sz w:val="24"/>
          <w:szCs w:val="24"/>
        </w:rPr>
      </w:pPr>
    </w:p>
    <w:p>
      <w:pPr>
        <w:pStyle w:val="Heading1"/>
        <w:shd w:val="clear" w:color="auto" w:fill="ffffff"/>
        <w:spacing w:before="0" w:after="0"/>
        <w:ind w:left="360"/>
        <w:rPr>
          <w:b w:val="off"/>
          <w:color w:val="010101"/>
          <w:sz w:val="24"/>
          <w:szCs w:val="24"/>
        </w:rPr>
      </w:pPr>
      <w:r>
        <w:rPr>
          <w:b w:val="off"/>
          <w:color w:val="010101"/>
          <w:sz w:val="24"/>
          <w:szCs w:val="24"/>
        </w:rPr>
        <w:t xml:space="preserve">5.   </w:t>
      </w:r>
      <w:r>
        <w:rPr>
          <w:b w:val="off"/>
          <w:color w:val="010101"/>
          <w:sz w:val="24"/>
          <w:szCs w:val="24"/>
        </w:rPr>
        <w:t>Угадать мультфильм по песне Звучит песня. из мультфильма «Утиные истории»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b/>
          <w:sz w:val="28"/>
          <w:szCs w:val="28"/>
        </w:rPr>
        <w:t>Вопросы и ответы   7  тура.</w:t>
      </w:r>
      <w:r>
        <w:rPr>
          <w:rFonts w:ascii="Times New Roman" w:cs="Times New Roman" w:hAnsi="Times New Roman"/>
          <w:sz w:val="24"/>
          <w:szCs w:val="24"/>
        </w:rPr>
        <w:t xml:space="preserve">  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ind w:left="672" w:hanging="672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 1.    Назовите профессию человека, вынужденного каждый свой рабочий день писать только о том, что он кому-то верит, и что он кому-то должен?     (Бухгалтер. «Дебет» – я верю, «кредит» – я должен.)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ind w:left="672" w:hanging="672"/>
        <w:rPr>
          <w:rFonts w:ascii="Times New Roman" w:cs="Times New Roman" w:eastAsia="+mn-ea" w:hAnsi="Times New Roman"/>
          <w:color w:val="ffffff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 2.</w:t>
      </w:r>
      <w:r>
        <w:rPr>
          <w:rFonts w:ascii="Times New Roman" w:cs="Times New Roman" w:eastAsia="+mn-ea" w:hAnsi="Times New Roman"/>
          <w:color w:val="ffffff"/>
          <w:sz w:val="24"/>
          <w:szCs w:val="24"/>
        </w:rPr>
        <w:t xml:space="preserve">    </w:t>
      </w:r>
      <w:r>
        <w:rPr>
          <w:rFonts w:ascii="Times New Roman" w:cs="Times New Roman" w:hAnsi="Times New Roman"/>
          <w:sz w:val="24"/>
          <w:szCs w:val="24"/>
        </w:rPr>
        <w:t>Автором какой современной валюты считается Сатоси Накомото? (Криптовалюта-биткоин.)</w:t>
      </w:r>
      <w:r>
        <w:rPr>
          <w:rFonts w:ascii="Times New Roman" w:cs="Times New Roman" w:eastAsia="+mn-ea" w:hAnsi="Times New Roman"/>
          <w:color w:val="ffffff"/>
          <w:sz w:val="24"/>
          <w:szCs w:val="24"/>
        </w:rPr>
        <w:t xml:space="preserve"> 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ind w:left="636" w:hanging="636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 3 .      По замечанию Стюарта Брита, «вести бизнес без НЕЁ — всё равно, что подмигивать девушке в темноте: вы-то знаете, что вы делаете, а остальные — нет». Назовите ЕЁ. (Реклама)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ind w:left="600" w:hanging="600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 4.         </w:t>
      </w:r>
      <w:r>
        <w:rPr>
          <w:rFonts w:ascii="Times New Roman" w:cs="Times New Roman" w:hAnsi="Times New Roman"/>
          <w:sz w:val="24"/>
          <w:szCs w:val="24"/>
        </w:rPr>
        <w:t>Она  без него не бывает, ему её не хватает, она его бережет. О какой паре идет речь? (Копейка рубль бережет)</w:t>
      </w:r>
    </w:p>
    <w:p>
      <w:pPr>
        <w:pStyle w:val="ListParagraph"/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      5.</w:t>
      </w:r>
      <w:r>
        <w:rPr>
          <w:rFonts w:ascii="Times New Roman" w:cs="Times New Roman" w:eastAsia="+mn-ea" w:hAnsi="Times New Roman"/>
          <w:color w:val="ffffff"/>
          <w:sz w:val="24"/>
          <w:szCs w:val="24"/>
        </w:rPr>
        <w:t xml:space="preserve">        </w:t>
      </w:r>
      <w:r>
        <w:rPr>
          <w:rFonts w:ascii="Times New Roman" w:cs="Times New Roman" w:hAnsi="Times New Roman"/>
          <w:sz w:val="24"/>
          <w:szCs w:val="24"/>
        </w:rPr>
        <w:t>В каком российском городе    есть  Банковский мост? (Санкт-Петербург)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Пока преподаватель(студент) – демонстратор  подсчитывает баллы и подводит итог, преподаватель ведущий рассказывает об истории создания «Мозгобойни».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>
          <w:rFonts w:ascii="Times New Roman" w:cs="Times New Roman" w:hAnsi="Times New Roman"/>
          <w:b w:val="off"/>
          <w:bCs w:val="off"/>
          <w:i/>
          <w:iCs/>
          <w:sz w:val="24"/>
          <w:szCs w:val="24"/>
        </w:rPr>
      </w:pPr>
      <w:r>
        <w:rPr>
          <w:rFonts w:ascii="Times New Roman" w:cs="Times New Roman" w:hAnsi="Times New Roman"/>
          <w:b w:val="off"/>
          <w:bCs w:val="off"/>
          <w:i/>
          <w:iCs/>
          <w:sz w:val="24"/>
          <w:szCs w:val="24"/>
        </w:rPr>
        <w:t>История создания «Мозгобойни»</w:t>
      </w:r>
    </w:p>
    <w:p>
      <w:pPr>
        <w:spacing w:after="0" w:line="240" w:lineRule="auto"/>
        <w:rPr>
          <w:rFonts w:ascii="Times New Roman" w:cs="Times New Roman" w:hAnsi="Times New Roman"/>
          <w:b w:val="off"/>
          <w:bCs w:val="off"/>
          <w:i/>
          <w:iCs/>
          <w:sz w:val="24"/>
          <w:szCs w:val="24"/>
        </w:rPr>
      </w:pP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У «Мозгобойни» сложная родословная. Идея — из Литвы, основатели — из Белоруссии, бизнес в России начинали питерские предприниматели, а франчайзинговые успехи компании — заслуга команды из Екатеринбурга.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Запуская проект в 2012 году, Екатерина Максимова и Александр Ханин не думали об экономических показателях. Они привезли концепцию паб-квиза в Минск из Вильнюса, где тогда жили. На первую игру собрали друзей, одногруппников и родственников — всего 45 человек. «Мы забрались в самый центральный центр города и зашли едва ли не в первое попавшееся заведение — небольшое кафе Se7en. Больших расходов мероприятие не потребовало. Бланки, ручки, шампанское победителям суммарно обошлись не дороже $100. Собрав «копеечку» с участников, организаторам удалось компенсировать затраты и дорогу из Вильнюса.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Формат квиза публике очень понравился, и «Мозгобойню» в Минске стали проводить регулярно — два раза в месяц. «Ничего не делая для продвижения, — говорит Ханин, — мы собирали каждый раз все больше людей. Их количество росло года три-четыре подряд». К концу 2014-го проект набрал такие обороты, что позволил основателям отказаться от работы по найму (Александр, журналист по образованию, был тренером по эффективным коммуникациям в компании Gustav Kaeser и футбольным судьей, а Екатерина, ландшафтный дизайнер, работала в ивент-сфере) и сосредоточиться на «Мозгобойне».</w:t>
      </w:r>
    </w:p>
    <w:p>
      <w:pPr>
        <w:pStyle w:val="Normal(Web)"/>
        <w:shd w:val="clear" w:color="auto" w:fill="ffffff"/>
        <w:spacing w:before="0" w:after="0"/>
        <w:rPr>
          <w:color w:val="000000"/>
        </w:rPr>
      </w:pPr>
      <w:r>
        <w:rPr>
          <w:color w:val="000000"/>
        </w:rPr>
        <w:t>Продавать франшизу компания начала в 2014-м по запросу — в Витебске тоже захотели играть в «Мозгобойню». «Мы даже слова тогда такого не знали — франчайзинг», — вспоминает Александр. «Наши первые «франшизные предложения» — устные инструкции и вордовские файлы», — добавляет Екатерина. Однако модель оказалась успешной: к концу 2015 года «Мозгобойню» регулярно проводили в 13 крупнейших городах Белоруссии. При этом единственным рекламным инструментом было сарафанное радио. Филиалы открывали или люди, которые сами играли, или по рекомендации игроков. «Мы не строили никаких стратегий заранее, — объясняет Екатерина. — Все делалось в моменте нативно. Это помогло выстроить продукт и предложение под запрос рынка и клиентов, а не по условной теории».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В 2015 году франшизу купили в Санкт –Петербурге, в 2016 – в Екатеринбурге.</w:t>
      </w:r>
    </w:p>
    <w:p>
      <w:pPr>
        <w:pStyle w:val="Normal(Web)"/>
        <w:shd w:val="clear" w:color="auto" w:fill="ffffff"/>
        <w:spacing w:before="0" w:after="0"/>
        <w:rPr>
          <w:color w:val="202122"/>
        </w:rPr>
      </w:pPr>
      <w:r>
        <w:t xml:space="preserve">Сейчас в </w:t>
      </w:r>
      <w:r>
        <w:rPr>
          <w:b/>
          <w:bCs/>
          <w:color w:val="202122"/>
          <w:shd w:val="clear" w:color="auto" w:fill="ffffff"/>
        </w:rPr>
        <w:t>«Мозгобо́йню»</w:t>
      </w:r>
      <w:r>
        <w:rPr>
          <w:color w:val="202122"/>
          <w:shd w:val="clear" w:color="auto" w:fill="ffffff"/>
        </w:rPr>
        <w:t> играют  в 276 городах 17 стран мира</w:t>
      </w:r>
      <w:r>
        <w:rPr>
          <w:shd w:val="clear" w:color="auto" w:fill="ffffff"/>
          <w:vertAlign w:val="superscript"/>
        </w:rPr>
        <w:t>.</w:t>
      </w:r>
      <w:r>
        <w:rPr>
          <w:color w:val="202122"/>
          <w:shd w:val="clear" w:color="auto" w:fill="ffffff"/>
        </w:rPr>
        <w:t xml:space="preserve"> Екатерина и Александр до сих пор ведут Мозгобойню в Минске и даже составляют как и раньше вопросы, но , конечно же у них сейчас команда, которая помагает им, с таким масштабом они бы не справились сами. </w:t>
      </w:r>
      <w:r>
        <w:rPr>
          <w:color w:val="202122"/>
        </w:rPr>
        <w:t> Совокупная годовая выручка сети «Мозгобойня» оценивается в 350 млн рублей.</w:t>
      </w:r>
    </w:p>
    <w:p>
      <w:pPr>
        <w:pStyle w:val="Normal(Web)"/>
        <w:shd w:val="clear" w:color="auto" w:fill="ffffff"/>
        <w:spacing w:before="0" w:after="0"/>
        <w:rPr>
          <w:color w:val="202122"/>
        </w:rPr>
      </w:pPr>
      <w:r>
        <w:rPr>
          <w:color w:val="202122"/>
        </w:rPr>
        <w:t>После </w:t>
      </w:r>
      <w:r>
        <w:fldChar w:fldCharType="begin"/>
      </w:r>
      <w:r>
        <w:instrText xml:space="preserve">HYPERLINK "https://ru.wikipedia.org/wiki/%D0%9F%D0%B0%D0%BD%D0%B4%D0%B5%D0%BC%D0%B8%D1%8F_COVID-19" </w:instrText>
      </w:r>
      <w:r>
        <w:fldChar w:fldCharType="separate"/>
      </w:r>
      <w:r>
        <w:rPr>
          <w:rStyle w:val="Hyperlink"/>
          <w:color w:val="0b0080"/>
        </w:rPr>
        <w:t>п</w:t>
      </w:r>
      <w:r>
        <w:rPr>
          <w:rStyle w:val="Hyperlink"/>
          <w:color w:val="0b0080"/>
          <w:u w:val="none"/>
        </w:rPr>
        <w:t>андемии COVID-19</w:t>
      </w:r>
      <w:r>
        <w:fldChar w:fldCharType="end"/>
      </w:r>
      <w:r>
        <w:rPr>
          <w:color w:val="202122"/>
        </w:rPr>
        <w:t> компания потеряла 95 % выручки. Офлайн-мероприятия перешли в онлайн-трансляции «Мозгобойня. Live», которые представляют собой 14 студий с ведущими, работающими в прямом эфире. Также было разработано мобильное приложение MozgoParty, приносящее больше 1 млн рублей выручки в месяц.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  <w:shd w:val="clear" w:color="auto" w:fill="ffffff"/>
          <w:vertAlign w:val="superscript"/>
        </w:rPr>
      </w:pPr>
      <w:r>
        <w:rPr>
          <w:rFonts w:ascii="Times New Roman" w:cs="Times New Roman" w:hAnsi="Times New Roman"/>
          <w:color w:val="202122"/>
          <w:sz w:val="24"/>
          <w:szCs w:val="24"/>
          <w:shd w:val="clear" w:color="auto" w:fill="ffffff"/>
        </w:rPr>
        <w:t>В 2020 году «Мозгобойня» заняла 28 место в рейтинге «30 самых выгодных франшиз 2020» среди российских компаний по версии Forbes.ru</w:t>
      </w:r>
      <w:r>
        <w:rPr>
          <w:rFonts w:ascii="Times New Roman" w:cs="Times New Roman" w:hAnsi="Times New Roman"/>
          <w:sz w:val="24"/>
          <w:szCs w:val="24"/>
          <w:shd w:val="clear" w:color="auto" w:fill="ffffff"/>
          <w:vertAlign w:val="superscript"/>
        </w:rPr>
        <w:t>.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  <w:shd w:val="clear" w:color="auto" w:fill="ffffff"/>
          <w:vertAlign w:val="superscript"/>
        </w:rPr>
      </w:pPr>
    </w:p>
    <w:p>
      <w:pPr>
        <w:spacing w:after="0" w:line="240" w:lineRule="auto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b/>
          <w:bCs/>
          <w:sz w:val="24"/>
          <w:szCs w:val="24"/>
          <w:shd w:val="clear" w:color="auto" w:fill="ffffff"/>
        </w:rPr>
        <w:t xml:space="preserve">Объявляются результаты, </w:t>
      </w:r>
      <w:r>
        <w:rPr>
          <w:rFonts w:ascii="Times New Roman" w:cs="Times New Roman" w:hAnsi="Times New Roman"/>
          <w:b/>
          <w:bCs/>
          <w:sz w:val="24"/>
          <w:szCs w:val="24"/>
          <w:shd w:val="clear" w:color="auto" w:fill="ffffff"/>
        </w:rPr>
        <w:t>н</w:t>
      </w:r>
      <w:r>
        <w:rPr>
          <w:rFonts w:ascii="Times New Roman" w:cs="Times New Roman" w:hAnsi="Times New Roman"/>
          <w:b/>
          <w:bCs/>
          <w:sz w:val="24"/>
          <w:szCs w:val="24"/>
          <w:shd w:val="clear" w:color="auto" w:fill="ffffff"/>
        </w:rPr>
        <w:t>аграждаются победители.</w:t>
      </w:r>
    </w:p>
    <w:p>
      <w:pPr>
        <w:spacing w:after="0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jc w:val="center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Приложение 1.  Бланк для внесения ответов.</w:t>
      </w: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jc w:val="center"/>
        <w:rPr>
          <w:rFonts w:ascii="Arial Black" w:hAnsi="Arial Black"/>
        </w:rPr>
      </w:pPr>
      <w:r>
        <w:rPr>
          <w:rFonts w:ascii="Arial Black" w:hAnsi="Arial Black"/>
        </w:rPr>
        <w:t>Финансовая мозгобойня</w:t>
      </w:r>
    </w:p>
    <w:p>
      <w:pPr>
        <w:spacing w:after="0" w:line="240" w:lineRule="auto"/>
        <w:rPr/>
      </w:pPr>
      <w:r>
        <w:t xml:space="preserve">                                                                                  </w:t>
      </w:r>
      <w:r>
        <w:rPr/>
        <w:drawing xmlns:mc="http://schemas.openxmlformats.org/markup-compatibility/2006">
          <wp:inline distT="0" distB="0" distL="0" distR="0">
            <wp:extent cx="1000235" cy="652007"/>
            <wp:effectExtent l="0" t="0" r="0" b="0"/>
            <wp:docPr id="40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0235" cy="652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0" w:line="240" w:lineRule="auto"/>
        <w:rPr/>
      </w:pPr>
      <w:r>
        <w:t xml:space="preserve">Команда___________________________                                                              Тур __________________        </w:t>
      </w:r>
    </w:p>
    <w:p>
      <w:pPr>
        <w:spacing w:after="0" w:line="240" w:lineRule="auto"/>
        <w:rPr/>
      </w:pPr>
    </w:p>
    <w:tbl>
      <w:tblPr>
        <w:tblStyle w:val="TableGrid"/>
        <w:tblW w:w="0" w:type="auto"/>
        <w:tblLook w:val="04A0"/>
      </w:tblPr>
      <w:tblGrid>
        <w:gridCol w:w="328"/>
        <w:gridCol w:w="8436"/>
        <w:gridCol w:w="806"/>
      </w:tblGrid>
      <w:tr>
        <w:trPr/>
        <w:tc>
          <w:tcPr>
            <w:cnfStyle w:val="101000000000"/>
            <w:tcW w:w="328" w:type="dxa"/>
          </w:tcPr>
          <w:p>
            <w:r>
              <w:t>1</w:t>
            </w:r>
          </w:p>
        </w:tc>
        <w:tc>
          <w:tcPr>
            <w:cnfStyle w:val="100000000000"/>
            <w:tcW w:w="9418" w:type="dxa"/>
          </w:tcPr>
          <w:p/>
        </w:tc>
        <w:tc>
          <w:tcPr>
            <w:cnfStyle w:val="100000000000"/>
            <w:tcW w:w="901" w:type="dxa"/>
          </w:tcPr>
          <w:p/>
        </w:tc>
      </w:tr>
      <w:tr>
        <w:trPr/>
        <w:tc>
          <w:tcPr>
            <w:cnfStyle w:val="001000100000"/>
            <w:tcW w:w="328" w:type="dxa"/>
          </w:tcPr>
          <w:p>
            <w:r>
              <w:t>2</w:t>
            </w:r>
          </w:p>
        </w:tc>
        <w:tc>
          <w:tcPr>
            <w:cnfStyle w:val="000000100000"/>
            <w:tcW w:w="9418" w:type="dxa"/>
          </w:tcPr>
          <w:p/>
        </w:tc>
        <w:tc>
          <w:tcPr>
            <w:cnfStyle w:val="000000100000"/>
            <w:tcW w:w="901" w:type="dxa"/>
          </w:tcPr>
          <w:p/>
        </w:tc>
      </w:tr>
      <w:tr>
        <w:trPr/>
        <w:tc>
          <w:tcPr>
            <w:cnfStyle w:val="001000010000"/>
            <w:tcW w:w="328" w:type="dxa"/>
          </w:tcPr>
          <w:p>
            <w:r>
              <w:t>3</w:t>
            </w:r>
          </w:p>
        </w:tc>
        <w:tc>
          <w:tcPr>
            <w:cnfStyle w:val="000000010000"/>
            <w:tcW w:w="9418" w:type="dxa"/>
          </w:tcPr>
          <w:p/>
        </w:tc>
        <w:tc>
          <w:tcPr>
            <w:cnfStyle w:val="000000010000"/>
            <w:tcW w:w="901" w:type="dxa"/>
          </w:tcPr>
          <w:p/>
        </w:tc>
      </w:tr>
      <w:tr>
        <w:trPr/>
        <w:tc>
          <w:tcPr>
            <w:cnfStyle w:val="001000100000"/>
            <w:tcW w:w="328" w:type="dxa"/>
          </w:tcPr>
          <w:p>
            <w:r>
              <w:t>4</w:t>
            </w:r>
          </w:p>
        </w:tc>
        <w:tc>
          <w:tcPr>
            <w:cnfStyle w:val="000000100000"/>
            <w:tcW w:w="9418" w:type="dxa"/>
          </w:tcPr>
          <w:p/>
        </w:tc>
        <w:tc>
          <w:tcPr>
            <w:cnfStyle w:val="000000100000"/>
            <w:tcW w:w="901" w:type="dxa"/>
          </w:tcPr>
          <w:p/>
        </w:tc>
      </w:tr>
      <w:tr>
        <w:trPr/>
        <w:tc>
          <w:tcPr>
            <w:cnfStyle w:val="001000010000"/>
            <w:tcW w:w="328" w:type="dxa"/>
          </w:tcPr>
          <w:p>
            <w:r>
              <w:t>5</w:t>
            </w:r>
          </w:p>
        </w:tc>
        <w:tc>
          <w:tcPr>
            <w:cnfStyle w:val="000000010000"/>
            <w:tcW w:w="9418" w:type="dxa"/>
          </w:tcPr>
          <w:p/>
        </w:tc>
        <w:tc>
          <w:tcPr>
            <w:cnfStyle w:val="000000010000"/>
            <w:tcW w:w="901" w:type="dxa"/>
          </w:tcPr>
          <w:p/>
        </w:tc>
      </w:tr>
    </w:tbl>
    <w:p>
      <w:pPr>
        <w:spacing w:after="0" w:line="240" w:lineRule="auto"/>
        <w:rPr/>
      </w:pPr>
      <w:r>
        <w:t xml:space="preserve">                                </w:t>
      </w:r>
    </w:p>
    <w:p>
      <w:pPr>
        <w:spacing w:after="0" w:line="240" w:lineRule="auto"/>
        <w:jc w:val="center"/>
        <w:rPr>
          <w:rFonts w:ascii="Arial Black" w:hAnsi="Arial Black"/>
          <w:b/>
          <w:sz w:val="32"/>
          <w:szCs w:val="32"/>
        </w:rPr>
      </w:pPr>
    </w:p>
    <w:p>
      <w:pPr>
        <w:spacing w:after="0" w:line="240" w:lineRule="auto"/>
        <w:jc w:val="center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Приложение 2. </w:t>
      </w:r>
      <w:r>
        <w:rPr>
          <w:rFonts w:ascii="Times New Roman" w:cs="Times New Roman" w:hAnsi="Times New Roman"/>
          <w:sz w:val="24"/>
          <w:szCs w:val="24"/>
        </w:rPr>
        <w:t>Бланк успокоения нервов.</w:t>
      </w:r>
    </w:p>
    <w:p>
      <w:pPr>
        <w:spacing w:after="0" w:line="240" w:lineRule="auto"/>
        <w:jc w:val="center"/>
        <w:rPr>
          <w:rFonts w:ascii="Arial Black" w:hAnsi="Arial Black"/>
          <w:b/>
          <w:sz w:val="32"/>
          <w:szCs w:val="32"/>
        </w:rPr>
      </w:pPr>
    </w:p>
    <w:p>
      <w:pPr>
        <w:spacing w:after="0" w:line="240" w:lineRule="auto"/>
        <w:jc w:val="center"/>
        <w:rPr>
          <w:rFonts w:ascii="Arial Black" w:cs="Times New Roman" w:hAnsi="Arial Black"/>
          <w:b/>
          <w:sz w:val="32"/>
          <w:szCs w:val="32"/>
        </w:rPr>
      </w:pPr>
      <w:r>
        <w:rPr>
          <w:rFonts w:ascii="Arial Black" w:hAnsi="Arial Black"/>
          <w:b/>
          <w:sz w:val="32"/>
          <w:szCs w:val="32"/>
        </w:rPr>
        <w:t>Листок успокоения нервов</w:t>
      </w:r>
      <w:r>
        <w:rPr>
          <w:rFonts w:ascii="Arial Black" w:cs="Times New Roman" w:hAnsi="Arial Black"/>
          <w:b/>
          <w:sz w:val="32"/>
          <w:szCs w:val="32"/>
        </w:rPr>
        <w:t>.</w:t>
      </w:r>
    </w:p>
    <w:p>
      <w:pPr>
        <w:spacing w:after="0" w:line="240" w:lineRule="auto"/>
        <w:jc w:val="center"/>
        <w:rPr>
          <w:rFonts w:ascii="Arial Black" w:hAnsi="Arial Black"/>
        </w:rPr>
      </w:pPr>
      <w:r>
        <w:rPr>
          <w:rFonts w:ascii="Arial Black" w:hAnsi="Arial Black"/>
        </w:rPr>
        <w:t xml:space="preserve"> </w:t>
      </w:r>
      <w:r>
        <w:rPr>
          <w:rFonts w:ascii="Arial Black" w:hAnsi="Arial Black"/>
        </w:rPr>
        <w:t xml:space="preserve"> Финансовая мозгобойня</w:t>
      </w:r>
      <w:r>
        <w:rPr>
          <w:rFonts w:ascii="Arial Black" w:hAnsi="Arial Black"/>
        </w:rPr>
        <w:t>.</w:t>
      </w:r>
    </w:p>
    <w:p>
      <w:pPr>
        <w:spacing w:after="0" w:line="240" w:lineRule="auto"/>
        <w:jc w:val="center"/>
        <w:rPr/>
      </w:pPr>
      <w:r>
        <w:rPr/>
        <w:drawing xmlns:mc="http://schemas.openxmlformats.org/markup-compatibility/2006">
          <wp:inline distT="0" distB="0" distL="0" distR="0">
            <wp:extent cx="1000235" cy="652007"/>
            <wp:effectExtent l="0" t="0" r="0" b="0"/>
            <wp:docPr id="41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0235" cy="652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0" w:line="240" w:lineRule="auto"/>
        <w:jc w:val="center"/>
        <w:rPr/>
      </w:pPr>
    </w:p>
    <w:tbl>
      <w:tblPr>
        <w:tblStyle w:val="TableGrid"/>
        <w:tblW w:w="0" w:type="auto"/>
        <w:tblLook w:val="04A0"/>
      </w:tblPr>
      <w:tblGrid>
        <w:gridCol w:w="1655"/>
        <w:gridCol w:w="1556"/>
        <w:gridCol w:w="1686"/>
        <w:gridCol w:w="1556"/>
        <w:gridCol w:w="1556"/>
        <w:gridCol w:w="1556"/>
      </w:tblGrid>
      <w:tr>
        <w:trPr/>
        <w:tc>
          <w:tcPr>
            <w:cnfStyle w:val="101000000000"/>
            <w:tcW w:w="1809" w:type="dxa"/>
          </w:tcPr>
          <w:p>
            <w:pPr>
              <w:jc w:val="center"/>
              <w:rPr>
                <w:rFonts w:ascii="Times New Roman" w:cs="Times New Roman" w:hAnsi="Times New Roman"/>
              </w:rPr>
            </w:pPr>
            <w:r>
              <w:rPr>
                <w:rFonts w:ascii="Times New Roman" w:cs="Times New Roman" w:hAnsi="Times New Roman"/>
              </w:rPr>
              <w:t>Туры/Вопросы</w:t>
            </w:r>
          </w:p>
        </w:tc>
        <w:tc>
          <w:tcPr>
            <w:cnfStyle w:val="100000000000"/>
            <w:tcW w:w="1701" w:type="dxa"/>
          </w:tcPr>
          <w:p>
            <w:pPr>
              <w:jc w:val="center"/>
              <w:rPr/>
            </w:pPr>
            <w:r>
              <w:t>1</w:t>
            </w:r>
          </w:p>
        </w:tc>
        <w:tc>
          <w:tcPr>
            <w:cnfStyle w:val="100000000000"/>
            <w:tcW w:w="1843" w:type="dxa"/>
          </w:tcPr>
          <w:p>
            <w:pPr>
              <w:jc w:val="center"/>
              <w:rPr/>
            </w:pPr>
            <w:r>
              <w:t>2</w:t>
            </w:r>
          </w:p>
        </w:tc>
        <w:tc>
          <w:tcPr>
            <w:cnfStyle w:val="100000000000"/>
            <w:tcW w:w="1701" w:type="dxa"/>
          </w:tcPr>
          <w:p>
            <w:pPr>
              <w:jc w:val="center"/>
              <w:rPr/>
            </w:pPr>
            <w:r>
              <w:t>3</w:t>
            </w:r>
          </w:p>
        </w:tc>
        <w:tc>
          <w:tcPr>
            <w:cnfStyle w:val="100000000000"/>
            <w:tcW w:w="1701" w:type="dxa"/>
          </w:tcPr>
          <w:p>
            <w:pPr>
              <w:jc w:val="center"/>
              <w:rPr/>
            </w:pPr>
            <w:r>
              <w:t>4</w:t>
            </w:r>
          </w:p>
        </w:tc>
        <w:tc>
          <w:tcPr>
            <w:cnfStyle w:val="100000000000"/>
            <w:tcW w:w="1701" w:type="dxa"/>
          </w:tcPr>
          <w:p>
            <w:pPr>
              <w:jc w:val="center"/>
              <w:rPr/>
            </w:pPr>
            <w:r>
              <w:t>5</w:t>
            </w:r>
          </w:p>
        </w:tc>
      </w:tr>
      <w:tr>
        <w:trPr/>
        <w:tc>
          <w:tcPr>
            <w:cnfStyle w:val="001000100000"/>
            <w:tcW w:w="1809" w:type="dxa"/>
          </w:tcPr>
          <w:p>
            <w:pPr>
              <w:jc w:val="center"/>
              <w:rPr/>
            </w:pPr>
            <w:r>
              <w:t>1</w:t>
            </w: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  <w:p>
            <w:pPr>
              <w:jc w:val="center"/>
              <w:rPr/>
            </w:pPr>
          </w:p>
        </w:tc>
        <w:tc>
          <w:tcPr>
            <w:cnfStyle w:val="000000100000"/>
            <w:tcW w:w="1843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</w:tr>
      <w:tr>
        <w:trPr/>
        <w:tc>
          <w:tcPr>
            <w:cnfStyle w:val="001000010000"/>
            <w:tcW w:w="1809" w:type="dxa"/>
          </w:tcPr>
          <w:p>
            <w:pPr>
              <w:jc w:val="center"/>
              <w:rPr/>
            </w:pPr>
            <w:r>
              <w:t>2</w:t>
            </w: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  <w:p>
            <w:pPr>
              <w:jc w:val="center"/>
              <w:rPr/>
            </w:pPr>
          </w:p>
        </w:tc>
        <w:tc>
          <w:tcPr>
            <w:cnfStyle w:val="000000010000"/>
            <w:tcW w:w="1843" w:type="dxa"/>
          </w:tcPr>
          <w:p>
            <w:pPr>
              <w:jc w:val="center"/>
              <w:rPr/>
            </w:pP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</w:tc>
      </w:tr>
      <w:tr>
        <w:trPr/>
        <w:tc>
          <w:tcPr>
            <w:cnfStyle w:val="001000100000"/>
            <w:tcW w:w="1809" w:type="dxa"/>
          </w:tcPr>
          <w:p>
            <w:pPr>
              <w:jc w:val="center"/>
              <w:rPr/>
            </w:pPr>
            <w:r>
              <w:t>3</w:t>
            </w: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  <w:p>
            <w:pPr>
              <w:jc w:val="center"/>
              <w:rPr/>
            </w:pPr>
          </w:p>
        </w:tc>
        <w:tc>
          <w:tcPr>
            <w:cnfStyle w:val="000000100000"/>
            <w:tcW w:w="1843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</w:tr>
      <w:tr>
        <w:trPr/>
        <w:tc>
          <w:tcPr>
            <w:cnfStyle w:val="001000010000"/>
            <w:tcW w:w="1809" w:type="dxa"/>
          </w:tcPr>
          <w:p>
            <w:pPr>
              <w:jc w:val="center"/>
              <w:rPr/>
            </w:pPr>
            <w:r>
              <w:t>4</w:t>
            </w: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  <w:p>
            <w:pPr>
              <w:jc w:val="center"/>
              <w:rPr/>
            </w:pPr>
          </w:p>
        </w:tc>
        <w:tc>
          <w:tcPr>
            <w:cnfStyle w:val="000000010000"/>
            <w:tcW w:w="1843" w:type="dxa"/>
          </w:tcPr>
          <w:p>
            <w:pPr>
              <w:jc w:val="center"/>
              <w:rPr/>
            </w:pP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</w:tc>
      </w:tr>
      <w:tr>
        <w:trPr/>
        <w:tc>
          <w:tcPr>
            <w:cnfStyle w:val="001000100000"/>
            <w:tcW w:w="1809" w:type="dxa"/>
          </w:tcPr>
          <w:p>
            <w:pPr>
              <w:jc w:val="center"/>
              <w:rPr/>
            </w:pPr>
            <w:r>
              <w:t>5</w:t>
            </w: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  <w:p>
            <w:pPr>
              <w:jc w:val="center"/>
              <w:rPr/>
            </w:pPr>
          </w:p>
        </w:tc>
        <w:tc>
          <w:tcPr>
            <w:cnfStyle w:val="000000100000"/>
            <w:tcW w:w="1843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</w:tr>
      <w:tr>
        <w:trPr/>
        <w:tc>
          <w:tcPr>
            <w:cnfStyle w:val="001000010000"/>
            <w:tcW w:w="1809" w:type="dxa"/>
          </w:tcPr>
          <w:p>
            <w:pPr>
              <w:jc w:val="center"/>
              <w:rPr/>
            </w:pPr>
            <w:r>
              <w:t>6</w:t>
            </w: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  <w:p>
            <w:pPr>
              <w:jc w:val="center"/>
              <w:rPr/>
            </w:pPr>
          </w:p>
        </w:tc>
        <w:tc>
          <w:tcPr>
            <w:cnfStyle w:val="000000010000"/>
            <w:tcW w:w="1843" w:type="dxa"/>
          </w:tcPr>
          <w:p>
            <w:pPr>
              <w:jc w:val="center"/>
              <w:rPr/>
            </w:pP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010000"/>
            <w:tcW w:w="1701" w:type="dxa"/>
          </w:tcPr>
          <w:p>
            <w:pPr>
              <w:jc w:val="center"/>
              <w:rPr/>
            </w:pPr>
          </w:p>
        </w:tc>
      </w:tr>
      <w:tr>
        <w:trPr/>
        <w:tc>
          <w:tcPr>
            <w:cnfStyle w:val="001000100000"/>
            <w:tcW w:w="1809" w:type="dxa"/>
          </w:tcPr>
          <w:p>
            <w:pPr>
              <w:jc w:val="center"/>
              <w:rPr/>
            </w:pPr>
            <w:r>
              <w:t>7</w:t>
            </w: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  <w:p>
            <w:pPr>
              <w:jc w:val="center"/>
              <w:rPr/>
            </w:pPr>
          </w:p>
        </w:tc>
        <w:tc>
          <w:tcPr>
            <w:cnfStyle w:val="000000100000"/>
            <w:tcW w:w="1843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  <w:tc>
          <w:tcPr>
            <w:cnfStyle w:val="000000100000"/>
            <w:tcW w:w="1701" w:type="dxa"/>
          </w:tcPr>
          <w:p>
            <w:pPr>
              <w:jc w:val="center"/>
              <w:rPr/>
            </w:pPr>
          </w:p>
        </w:tc>
      </w:tr>
    </w:tbl>
    <w:p>
      <w:pPr>
        <w:spacing w:after="0" w:line="240" w:lineRule="auto"/>
        <w:jc w:val="center"/>
        <w:rPr/>
      </w:pPr>
    </w:p>
    <w:p>
      <w:pPr>
        <w:spacing w:after="0" w:line="240" w:lineRule="auto"/>
        <w:jc w:val="center"/>
        <w:rPr/>
      </w:pPr>
      <w:r>
        <w:t xml:space="preserve">Место для заметок или </w:t>
      </w:r>
    </w:p>
    <w:p>
      <w:pPr>
        <w:spacing w:after="0" w:line="240" w:lineRule="auto"/>
        <w:jc w:val="center"/>
        <w:rPr/>
      </w:pPr>
      <w:r>
        <w:t>рисования котиков.</w:t>
      </w:r>
    </w:p>
    <w:p>
      <w:pPr>
        <w:spacing w:after="0" w:line="240" w:lineRule="auto"/>
        <w:jc w:val="center"/>
        <w:rPr/>
      </w:pPr>
    </w:p>
    <w:p>
      <w:pPr>
        <w:spacing w:after="0" w:line="240" w:lineRule="auto"/>
        <w:jc w:val="center"/>
        <w:rPr/>
      </w:pPr>
    </w:p>
    <w:p>
      <w:pPr>
        <w:spacing w:after="0" w:line="240" w:lineRule="auto"/>
        <w:jc w:val="center"/>
        <w:rPr/>
      </w:pPr>
    </w:p>
    <w:p>
      <w:pPr>
        <w:spacing w:after="0" w:line="240" w:lineRule="auto"/>
        <w:jc w:val="center"/>
        <w:rPr/>
      </w:pPr>
    </w:p>
    <w:p>
      <w:pPr>
        <w:spacing w:after="0" w:line="240" w:lineRule="auto"/>
        <w:jc w:val="center"/>
        <w:rPr/>
      </w:pPr>
    </w:p>
    <w:p>
      <w:pPr>
        <w:spacing w:after="0" w:line="240" w:lineRule="auto"/>
        <w:jc w:val="center"/>
        <w:rPr/>
      </w:pPr>
    </w:p>
    <w:p>
      <w:pPr>
        <w:spacing w:after="0" w:line="240" w:lineRule="auto"/>
        <w:jc w:val="center"/>
        <w:rPr/>
      </w:pPr>
    </w:p>
    <w:p>
      <w:pPr>
        <w:spacing w:after="0" w:line="240" w:lineRule="auto"/>
        <w:jc w:val="center"/>
        <w:rPr/>
      </w:pPr>
    </w:p>
    <w:p>
      <w:pPr>
        <w:spacing w:after="0" w:line="240" w:lineRule="auto"/>
        <w:jc w:val="center"/>
        <w:rPr/>
      </w:pPr>
    </w:p>
    <w:p>
      <w:pPr>
        <w:spacing w:after="0" w:line="240" w:lineRule="auto"/>
        <w:jc w:val="center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pStyle w:val="Heading1"/>
        <w:shd w:val="clear" w:color="auto" w:fill="ffffff"/>
        <w:spacing w:before="0" w:after="0"/>
        <w:rPr>
          <w:b w:val="off"/>
          <w:color w:val="010101"/>
          <w:sz w:val="24"/>
          <w:szCs w:val="24"/>
        </w:rPr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pStyle w:val="ListParagraph"/>
        <w:spacing w:after="0" w:line="240" w:lineRule="auto"/>
        <w:ind w:left="540"/>
        <w:rPr/>
      </w:pPr>
    </w:p>
    <w:p>
      <w:pPr>
        <w:pStyle w:val="ListParagraph"/>
        <w:spacing w:after="0" w:line="240" w:lineRule="auto"/>
        <w:ind w:left="540"/>
        <w:rPr/>
      </w:pPr>
    </w:p>
    <w:p>
      <w:pPr>
        <w:pStyle w:val="ListParagraph"/>
        <w:spacing w:after="0" w:line="240" w:lineRule="auto"/>
        <w:ind w:left="540"/>
        <w:rPr/>
      </w:pPr>
    </w:p>
    <w:p>
      <w:pPr>
        <w:pStyle w:val="ListParagraph"/>
        <w:spacing w:after="0" w:line="240" w:lineRule="auto"/>
        <w:ind w:left="540"/>
        <w:rPr/>
      </w:pPr>
    </w:p>
    <w:p>
      <w:pPr>
        <w:spacing w:after="0" w:line="240" w:lineRule="auto"/>
        <w:rPr/>
      </w:pPr>
    </w:p>
    <w:p>
      <w:pPr>
        <w:spacing w:after="0" w:line="240" w:lineRule="auto"/>
        <w:rPr/>
      </w:pPr>
    </w:p>
    <w:p>
      <w:pPr>
        <w:spacing w:after="0" w:line="240" w:lineRule="auto"/>
        <w:ind w:left="360"/>
        <w:rPr/>
      </w:pPr>
    </w:p>
    <w:p>
      <w:pPr>
        <w:spacing w:after="0" w:line="240" w:lineRule="auto"/>
        <w:rPr/>
      </w:pPr>
    </w:p>
    <w:p>
      <w:pPr>
        <w:pStyle w:val="ListParagraph"/>
        <w:spacing w:after="0" w:line="240" w:lineRule="auto"/>
        <w:rPr/>
      </w:pPr>
    </w:p>
    <w:sectPr>
      <w:footerReference w:type="default" r:id="rId48"/>
      <w:pgSz w:w="11906" w:h="16838"/>
      <w:pgMar w:top="1134" w:right="851" w:bottom="1134" w:left="1701" w:header="709" w:footer="709" w:gutter="0"/>
      <w:cols w:space="708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mc="http://schemas.openxmlformats.org/markup-compatibility/2006" xmlns:a="http://schemas.openxmlformats.org/drawingml/2006/main" xmlns:wps="http://schemas.microsoft.com/office/word/2010/wordprocessingShape" xmlns:wpg="http://schemas.microsoft.com/office/word/2010/wordprocessingGroup" xmlns:wp14="http://schemas.microsoft.com/office/word/2010/wordprocessingDrawing" xmlns:w14="http://schemas.microsoft.com/office/word/2010/wordml" xmlns:wpi="http://schemas.microsoft.com/office/word/2010/wordprocessingInk" xmlns:aink="http://schemas.microsoft.com/office/drawing/2016/ink">
  <w:endnote w:type="separator" w:id="0">
    <w:p>
      <w:pPr>
        <w:spacing w:after="0" w:line="240" w:lineRule="auto"/>
        <w:rPr/>
      </w:pPr>
      <w:r>
        <w:rPr/>
        <w:separator/>
      </w:r>
    </w:p>
  </w:endnote>
  <w:endnote w:type="continuationSeparator" w:id="1">
    <w:p>
      <w:pPr>
        <w:spacing w:after="0" w:line="240" w:lineRule="auto"/>
        <w:rPr/>
      </w:pPr>
      <w:r>
        <w:rPr/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00000000" w:usb1="00000000" w:usb2="00000009" w:usb3="00000000" w:csb0="000001ff" w:csb1="00000000"/>
  </w:font>
  <w:font w:name="Calibri">
    <w:panose1 w:val="020f0502020204030204"/>
    <w:charset w:val="cc"/>
    <w:family w:val="swiss"/>
    <w:pitch w:val="variable"/>
    <w:sig w:usb0="00000000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00000000" w:usb1="00000000" w:usb2="00000029" w:usb3="00000000" w:csb0="000101ff" w:csb1="00000000"/>
  </w:font>
  <w:font w:name="+mn-ea">
    <w:altName w:val="Times New Roman"/>
    <w:panose1 w:val="00000000000000000000"/>
    <w:charset w:val="00"/>
    <w:family w:val="roman"/>
    <w:notTrueType w:val="on"/>
    <w:pitch w:val="default"/>
    <w:sig w:usb0="00000000" w:usb1="00000000" w:usb2="00000000" w:usb3="00000000" w:csb0="00000000" w:csb1="00000000"/>
  </w:font>
  <w:font w:name="Arial Black">
    <w:panose1 w:val="020b0a04020102020204"/>
    <w:charset w:val="cc"/>
    <w:family w:val="swiss"/>
    <w:pitch w:val="variable"/>
    <w:sig w:usb0="00000000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00000000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00000000" w:usb1="00000000" w:usb2="00000009" w:usb3="00000000" w:csb0="000001ff" w:csb1="00000000"/>
  </w:font>
  <w:font w:name="Verdana">
    <w:panose1 w:val="020b0604030504040204"/>
    <w:charset w:val="00"/>
    <w:family w:val="roman"/>
    <w:pitch w:val="variable"/>
    <w:sig w:usb0="00000000" w:usb1="4000205b" w:usb2="00000010" w:usb3="00000000" w:csb0="0000019f" w:csb1="00000000"/>
  </w:font>
  <w:font w:name="Symbol">
    <w:panose1 w:val="05050102010706020507"/>
    <w:charset w:val="02"/>
    <w:family w:val="roman"/>
    <w:notTrueType w:val="on"/>
    <w:pitch w:val="variable"/>
  </w:font>
  <w:font w:name="Wingdings">
    <w:panose1 w:val="05000000000000000000"/>
    <w:charset w:val="02"/>
    <w:family w:val="auto"/>
    <w:notTrueType w:val="on"/>
    <w:pitch w:val="variable"/>
  </w:font>
  <w:font w:name="Helvetica Neue">
    <w:charset w:val="00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mc="http://schemas.openxmlformats.org/markup-compatibility/2006" xmlns:a="http://schemas.openxmlformats.org/drawingml/2006/main" xmlns:wps="http://schemas.microsoft.com/office/word/2010/wordprocessingShape" xmlns:wpg="http://schemas.microsoft.com/office/word/2010/wordprocessingGroup" xmlns:wp14="http://schemas.microsoft.com/office/word/2010/wordprocessingDrawing" xmlns:w14="http://schemas.microsoft.com/office/word/2010/wordml" xmlns:wpi="http://schemas.microsoft.com/office/word/2010/wordprocessingInk" xmlns:aink="http://schemas.microsoft.com/office/drawing/2016/ink">
  <w:p>
    <w:pPr>
      <w:pStyle w:val="Footer"/>
      <w:jc w:val="center"/>
      <w:rPr/>
    </w:pPr>
    <w:r>
      <w:fldChar w:fldCharType="begin"/>
    </w:r>
    <w:r>
      <w:instrText xml:space="preserve"> PAGE   \* MERGEFORMAT </w:instrText>
    </w:r>
    <w:r>
      <w:fldChar w:fldCharType="separate"/>
    </w:r>
    <w:r>
      <w:t>11</w:t>
    </w:r>
    <w:r>
      <w:fldChar w:fldCharType="end"/>
    </w:r>
  </w:p>
  <w:p>
    <w:pPr>
      <w:pStyle w:val="Footer"/>
      <w:rPr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mc="http://schemas.openxmlformats.org/markup-compatibility/2006" xmlns:a="http://schemas.openxmlformats.org/drawingml/2006/main" xmlns:wps="http://schemas.microsoft.com/office/word/2010/wordprocessingShape" xmlns:wpg="http://schemas.microsoft.com/office/word/2010/wordprocessingGroup" xmlns:wp14="http://schemas.microsoft.com/office/word/2010/wordprocessingDrawing" xmlns:w14="http://schemas.microsoft.com/office/word/2010/wordml" xmlns:wpi="http://schemas.microsoft.com/office/word/2010/wordprocessingInk" xmlns:aink="http://schemas.microsoft.com/office/drawing/2016/ink">
  <w:footnote w:type="separator" w:id="0">
    <w:p>
      <w:pPr>
        <w:spacing w:after="0" w:line="240" w:lineRule="auto"/>
        <w:rPr/>
      </w:pPr>
      <w:r>
        <w:rPr/>
        <w:separator/>
      </w:r>
    </w:p>
  </w:footnote>
  <w:footnote w:type="continuationSeparator" w:id="1">
    <w:p>
      <w:pPr>
        <w:spacing w:after="0" w:line="240" w:lineRule="auto"/>
        <w:rPr/>
      </w:pPr>
      <w:r>
        <w:rPr/>
        <w:continuationSeparator/>
      </w:r>
    </w:p>
  </w:footnote>
</w:footnote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ne="http://schemas.microsoft.com/office/word/2006/wordml" xmlns:w14="http://schemas.microsoft.com/office/word/2010/wordml" xmlns:w="http://schemas.openxmlformats.org/wordprocessingml/2006/main">
  <w:abstractNum w:abstractNumId="0">
    <w:multiLevelType w:val="hybridMultilevel"/>
    <w:lvl w:ilvl="0" w:tentative="0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260" w:hanging="360"/>
      </w:pPr>
    </w:lvl>
    <w:lvl w:ilvl="2" w:tentative="1">
      <w:start w:val="1"/>
      <w:numFmt w:val="lowerRoman"/>
      <w:lvlText w:val="%3."/>
      <w:lvlJc w:val="right"/>
      <w:pPr>
        <w:ind w:left="1980" w:hanging="180"/>
      </w:pPr>
    </w:lvl>
    <w:lvl w:ilvl="3" w:tentative="1">
      <w:start w:val="1"/>
      <w:numFmt w:val="decimal"/>
      <w:lvlText w:val="%4."/>
      <w:lvlJc w:val="left"/>
      <w:pPr>
        <w:ind w:left="2700" w:hanging="360"/>
      </w:pPr>
    </w:lvl>
    <w:lvl w:ilvl="4" w:tentative="1">
      <w:start w:val="1"/>
      <w:numFmt w:val="lowerLetter"/>
      <w:lvlText w:val="%5."/>
      <w:lvlJc w:val="left"/>
      <w:pPr>
        <w:ind w:left="3420" w:hanging="360"/>
      </w:pPr>
    </w:lvl>
    <w:lvl w:ilvl="5" w:tentative="1">
      <w:start w:val="1"/>
      <w:numFmt w:val="lowerRoman"/>
      <w:lvlText w:val="%6."/>
      <w:lvlJc w:val="right"/>
      <w:pPr>
        <w:ind w:left="4140" w:hanging="180"/>
      </w:pPr>
    </w:lvl>
    <w:lvl w:ilvl="6" w:tentative="1">
      <w:start w:val="1"/>
      <w:numFmt w:val="decimal"/>
      <w:lvlText w:val="%7."/>
      <w:lvlJc w:val="left"/>
      <w:pPr>
        <w:ind w:left="4860" w:hanging="360"/>
      </w:pPr>
    </w:lvl>
    <w:lvl w:ilvl="7" w:tentative="1">
      <w:start w:val="1"/>
      <w:numFmt w:val="lowerLetter"/>
      <w:lvlText w:val="%8."/>
      <w:lvlJc w:val="left"/>
      <w:pPr>
        <w:ind w:left="5580" w:hanging="360"/>
      </w:pPr>
    </w:lvl>
    <w:lvl w:ilvl="8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multiLevelType w:val="hybridMultilevel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multiLevelType w:val="hybridMultilevel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multiLevelType w:val="hybridMultilevel"/>
    <w:lvl w:ilvl="0" w:tentative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multiLevelType w:val="hybridMultilevel"/>
    <w:lvl w:ilvl="0" w:tentative="0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multiLevelType w:val="hybridMultilevel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multiLevelType w:val="hybridMultilevel"/>
    <w:lvl w:ilvl="0" w:tentative="0">
      <w:start w:val="1"/>
      <w:numFmt w:val="decimal"/>
      <w:isLgl w:val="off"/>
      <w:suff w:val="tab"/>
      <w:lvlText w:val="%1."/>
      <w:lvlJc w:val="left"/>
      <w:pPr>
        <w:ind w:left="1080" w:hanging="360"/>
      </w:pPr>
    </w:lvl>
    <w:lvl w:ilvl="1" w:tentative="1">
      <w:start w:val="1"/>
      <w:numFmt w:val="lowerLetter"/>
      <w:isLgl w:val="off"/>
      <w:suff w:val="tab"/>
      <w:lvlText w:val="%2."/>
      <w:lvlJc w:val="left"/>
      <w:pPr>
        <w:ind w:left="1800" w:hanging="360"/>
      </w:pPr>
    </w:lvl>
    <w:lvl w:ilvl="2" w:tentative="1">
      <w:start w:val="1"/>
      <w:numFmt w:val="lowerRoman"/>
      <w:isLgl w:val="off"/>
      <w:suff w:val="tab"/>
      <w:lvlText w:val="%3."/>
      <w:lvlJc w:val="right"/>
      <w:pPr>
        <w:ind w:left="2520" w:hanging="360"/>
      </w:pPr>
    </w:lvl>
    <w:lvl w:ilvl="3" w:tentative="1">
      <w:start w:val="1"/>
      <w:numFmt w:val="decimal"/>
      <w:isLgl w:val="off"/>
      <w:suff w:val="tab"/>
      <w:lvlText w:val="%4."/>
      <w:lvlJc w:val="left"/>
      <w:pPr>
        <w:ind w:left="3240" w:hanging="360"/>
      </w:pPr>
    </w:lvl>
    <w:lvl w:ilvl="4" w:tentative="1">
      <w:start w:val="1"/>
      <w:numFmt w:val="lowerLetter"/>
      <w:isLgl w:val="off"/>
      <w:suff w:val="tab"/>
      <w:lvlText w:val="%5."/>
      <w:lvlJc w:val="left"/>
      <w:pPr>
        <w:ind w:left="3960" w:hanging="360"/>
      </w:pPr>
    </w:lvl>
    <w:lvl w:ilvl="5" w:tentative="1">
      <w:start w:val="1"/>
      <w:numFmt w:val="lowerRoman"/>
      <w:isLgl w:val="off"/>
      <w:suff w:val="tab"/>
      <w:lvlText w:val="%6."/>
      <w:lvlJc w:val="right"/>
      <w:pPr>
        <w:ind w:left="4680" w:hanging="360"/>
      </w:pPr>
    </w:lvl>
    <w:lvl w:ilvl="6" w:tentative="1">
      <w:start w:val="1"/>
      <w:numFmt w:val="decimal"/>
      <w:isLgl w:val="off"/>
      <w:suff w:val="tab"/>
      <w:lvlText w:val="%7."/>
      <w:lvlJc w:val="left"/>
      <w:pPr>
        <w:ind w:left="5400" w:hanging="360"/>
      </w:pPr>
    </w:lvl>
    <w:lvl w:ilvl="7" w:tentative="1">
      <w:start w:val="1"/>
      <w:numFmt w:val="lowerLetter"/>
      <w:isLgl w:val="off"/>
      <w:suff w:val="tab"/>
      <w:lvlText w:val="%8."/>
      <w:lvlJc w:val="left"/>
      <w:pPr>
        <w:ind w:left="6120" w:hanging="360"/>
      </w:pPr>
    </w:lvl>
    <w:lvl w:ilvl="8" w:tentative="1">
      <w:start w:val="1"/>
      <w:numFmt w:val="lowerRoman"/>
      <w:isLgl w:val="off"/>
      <w:suff w:val="tab"/>
      <w:lvlText w:val="%9."/>
      <w:lvlJc w:val="right"/>
      <w:pPr>
        <w:ind w:left="6840" w:hanging="36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5"/>
  </w:num>
  <w:num w:numId="6">
    <w:abstractNumId w:val="3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3074"/>
  </w:hdrShapeDefaults>
  <w:compat>
    <w:useFELayout/>
  </w:compat>
  <w:rsids>
    <w:rsidRoot w:val="00016623"/>
    <w:rsid w:val="00016623"/>
    <w:rsid w:val="002D18BB"/>
    <w:rsid w:val="002D4124"/>
    <w:rsid w:val="002F61D9"/>
    <w:rsid w:val="00326F0E"/>
    <w:rsid w:val="004515EF"/>
    <w:rsid w:val="005439EF"/>
    <w:rsid w:val="00610960"/>
    <w:rsid w:val="006A5AE2"/>
    <w:rsid w:val="00781C28"/>
    <w:rsid w:val="00815EAC"/>
    <w:rsid w:val="009628FF"/>
    <w:rsid w:val="00AA062E"/>
    <w:rsid w:val="00CF6DEC"/>
    <w:rsid w:val="00D0189C"/>
    <w:rsid w:val="00D9661D"/>
    <w:rsid w:val="00F261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  <w:footnotePr>
    <w:footnote w:id="0"/>
    <w:footnote w:id="1"/>
  </w:footnotePr>
  <w:endnotePr>
    <w:endnote w:id="0"/>
    <w:endnote w:id="1"/>
  </w:endnotePr>
  <w:trackRevisions w:val="off"/>
</w:settings>
</file>

<file path=word/styles.xml><?xml version="1.0" encoding="utf-8"?>
<w:styles xmlns:r="http://schemas.openxmlformats.org/officeDocument/2006/relationships" xmlns:w14="http://schemas.microsoft.com/office/word/2010/wordml" xmlns:w="http://schemas.openxmlformats.org/wordprocessingml/2006/main">
  <w:docDefaults>
    <w:rPrDefault>
      <w:rPr>
        <w:rFonts w:asciiTheme="minorHAnsi" w:cstheme="minorBidi" w:eastAsiaTheme="minorEastAsia" w:hAnsiTheme="minorHAnsi"/>
        <w:sz w:val="22"/>
        <w:szCs w:val="22"/>
        <w:lang w:val="ru-RU" w:bidi="ar-SA" w:eastAsia="ru-RU"/>
      </w:rPr>
    </w:rPrDefault>
    <w:pPrDefault>
      <w:pPr>
        <w:spacing w:after="200" w:line="276" w:lineRule="auto"/>
      </w:pPr>
    </w:pPrDefault>
  </w:docDefaults>
  <w:style w:type="paragraph" w:styleId="Heading2">
    <w:name w:val="Heading 2"/>
    <w:link w:val="Heading2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b/>
      <w:bCs/>
      <w:color w:val="4f81bd" w:themeColor="accent1"/>
      <w:sz w:val="26"/>
      <w:szCs w:val="26"/>
    </w:rPr>
  </w:style>
  <w:style w:type="paragraph" w:styleId="Heading3">
    <w:name w:val="Heading 3"/>
    <w:link w:val="Heading3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b/>
      <w:bCs/>
      <w:color w:val="4f81bd" w:themeColor="accent1"/>
    </w:rPr>
  </w:style>
  <w:style w:type="paragraph" w:styleId="Heading4">
    <w:name w:val="Heading 4"/>
    <w:link w:val="Heading4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b/>
      <w:bCs/>
      <w:i/>
      <w:iCs/>
      <w:color w:val="4f81bd" w:themeColor="accent1"/>
    </w:rPr>
  </w:style>
  <w:style w:type="paragraph" w:styleId="Heading5">
    <w:name w:val="Heading 5"/>
    <w:link w:val="Heading5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color w:val="243f60" w:themeColor="accent1" w:themeShade="7f"/>
    </w:rPr>
  </w:style>
  <w:style w:type="paragraph" w:styleId="Heading6">
    <w:name w:val="Heading 6"/>
    <w:link w:val="Heading6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i/>
      <w:iCs/>
      <w:color w:val="243f60" w:themeColor="accent1" w:themeShade="7f"/>
    </w:rPr>
  </w:style>
  <w:style w:type="paragraph" w:styleId="Heading7">
    <w:name w:val="Heading 7"/>
    <w:link w:val="Heading7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i/>
      <w:iCs/>
      <w:color w:val="404040" w:themeColor="text1" w:themeTint="bf"/>
    </w:rPr>
  </w:style>
  <w:style w:type="paragraph" w:styleId="Heading8">
    <w:name w:val="Heading 8"/>
    <w:link w:val="Heading8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color w:val="404040" w:themeColor="text1" w:themeTint="bf"/>
      <w:sz w:val="20"/>
      <w:szCs w:val="20"/>
    </w:rPr>
  </w:style>
  <w:style w:type="paragraph" w:styleId="Heading9">
    <w:name w:val="Heading 9"/>
    <w:link w:val="Heading9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i/>
      <w:iCs/>
      <w:color w:val="404040" w:themeColor="text1" w:themeTint="bf"/>
      <w:sz w:val="20"/>
      <w:szCs w:val="20"/>
    </w:rPr>
  </w:style>
  <w:style w:type="paragraph" w:styleId="NoSpacing">
    <w:name w:val="No Spacing"/>
    <w:uiPriority w:val="1"/>
    <w:qFormat w:val="on"/>
    <w:pPr>
      <w:spacing w:after="0" w:line="240" w:lineRule="auto"/>
    </w:pPr>
  </w:style>
  <w:style w:type="character" w:customStyle="1" w:styleId="Heading1Char">
    <w:name w:val="Heading 1 Char"/>
    <w:uiPriority w:val="9"/>
    <w:rPr>
      <w:rFonts w:asciiTheme="majorHAnsi" w:cstheme="majorBidi" w:eastAsiaTheme="majorEastAsia" w:hAnsiTheme="majorHAnsi"/>
      <w:b/>
      <w:bCs/>
      <w:color w:val="376091" w:themeColor="accent1" w:themeShade="bf"/>
      <w:sz w:val="28"/>
      <w:szCs w:val="28"/>
    </w:rPr>
  </w:style>
  <w:style w:type="character" w:customStyle="1" w:styleId="Heading2Char">
    <w:name w:val="Heading 2 Char"/>
    <w:link w:val="Heading2"/>
    <w:uiPriority w:val="9"/>
    <w:rPr>
      <w:rFonts w:asciiTheme="majorHAnsi" w:cstheme="majorBidi" w:eastAsiaTheme="majorEastAsia" w:hAnsiTheme="majorHAns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link w:val="Heading3"/>
    <w:uiPriority w:val="9"/>
    <w:rPr>
      <w:rFonts w:asciiTheme="majorHAnsi" w:cstheme="majorBidi" w:eastAsiaTheme="majorEastAsia" w:hAnsiTheme="majorHAnsi"/>
      <w:b/>
      <w:bCs/>
      <w:color w:val="4f81bd" w:themeColor="accent1"/>
    </w:rPr>
  </w:style>
  <w:style w:type="character" w:customStyle="1" w:styleId="Heading4Char">
    <w:name w:val="Heading 4 Char"/>
    <w:link w:val="Heading4"/>
    <w:uiPriority w:val="9"/>
    <w:rPr>
      <w:rFonts w:asciiTheme="majorHAnsi" w:cstheme="majorBidi" w:eastAsiaTheme="majorEastAsia" w:hAnsiTheme="majorHAnsi"/>
      <w:b/>
      <w:bCs/>
      <w:i/>
      <w:iCs/>
      <w:color w:val="4f81bd" w:themeColor="accent1"/>
    </w:rPr>
  </w:style>
  <w:style w:type="character" w:customStyle="1" w:styleId="Heading5Char">
    <w:name w:val="Heading 5 Char"/>
    <w:link w:val="Heading5"/>
    <w:uiPriority w:val="9"/>
    <w:rPr>
      <w:rFonts w:asciiTheme="majorHAnsi" w:cstheme="majorBidi" w:eastAsiaTheme="majorEastAsia" w:hAnsiTheme="majorHAnsi"/>
      <w:color w:val="243f60" w:themeColor="accent1" w:themeShade="7f"/>
    </w:rPr>
  </w:style>
  <w:style w:type="character" w:customStyle="1" w:styleId="Heading6Char">
    <w:name w:val="Heading 6 Char"/>
    <w:link w:val="Heading6"/>
    <w:uiPriority w:val="9"/>
    <w:rPr>
      <w:rFonts w:asciiTheme="majorHAnsi" w:cstheme="majorBidi" w:eastAsiaTheme="majorEastAsia" w:hAnsiTheme="majorHAnsi"/>
      <w:i/>
      <w:iCs/>
      <w:color w:val="243f60" w:themeColor="accent1" w:themeShade="7f"/>
    </w:rPr>
  </w:style>
  <w:style w:type="character" w:customStyle="1" w:styleId="Heading7Char">
    <w:name w:val="Heading 7 Char"/>
    <w:link w:val="Heading7"/>
    <w:uiPriority w:val="9"/>
    <w:rPr>
      <w:rFonts w:asciiTheme="majorHAnsi" w:cstheme="majorBidi" w:eastAsiaTheme="majorEastAsia" w:hAnsiTheme="majorHAnsi"/>
      <w:i/>
      <w:iCs/>
      <w:color w:val="404040" w:themeColor="text1" w:themeTint="bf"/>
    </w:rPr>
  </w:style>
  <w:style w:type="character" w:customStyle="1" w:styleId="Heading8Char">
    <w:name w:val="Heading 8 Char"/>
    <w:link w:val="Heading8"/>
    <w:uiPriority w:val="9"/>
    <w:rPr>
      <w:rFonts w:asciiTheme="majorHAnsi" w:cstheme="majorBidi" w:eastAsiaTheme="majorEastAsia" w:hAnsiTheme="majorHAnsi"/>
      <w:color w:val="404040" w:themeColor="text1" w:themeTint="bf"/>
      <w:sz w:val="20"/>
      <w:szCs w:val="20"/>
    </w:rPr>
  </w:style>
  <w:style w:type="character" w:customStyle="1" w:styleId="Heading9Char">
    <w:name w:val="Heading 9 Char"/>
    <w:link w:val="Heading9"/>
    <w:uiPriority w:val="9"/>
    <w:rPr>
      <w:rFonts w:asciiTheme="majorHAnsi" w:cstheme="majorBidi" w:eastAsiaTheme="majorEastAsia" w:hAnsiTheme="majorHAnsi"/>
      <w:i/>
      <w:iCs/>
      <w:color w:val="404040" w:themeColor="text1" w:themeTint="bf"/>
      <w:sz w:val="20"/>
      <w:szCs w:val="20"/>
    </w:rPr>
  </w:style>
  <w:style w:type="paragraph" w:styleId="Title">
    <w:name w:val="Title"/>
    <w:link w:val="TitleChar"/>
    <w:uiPriority w:val="10"/>
    <w:qFormat w:val="on"/>
    <w:pPr>
      <w:pBdr>
        <w:bottom w:val="single" w:color="4f81bd" w:themeColor="accent1" w:sz="8" w:space="4"/>
      </w:pBdr>
      <w:spacing w:after="300" w:line="240" w:lineRule="auto"/>
      <w:contextualSpacing w:val="on"/>
    </w:pPr>
    <w:rPr>
      <w:rFonts w:asciiTheme="majorHAnsi" w:cstheme="majorBidi" w:eastAsiaTheme="majorEastAsia" w:hAnsiTheme="majorHAnsi"/>
      <w:color w:val="17375d" w:themeColor="text2" w:themeShade="bf"/>
      <w:spacing w:val="5"/>
      <w:sz w:val="52"/>
      <w:szCs w:val="52"/>
    </w:rPr>
  </w:style>
  <w:style w:type="character" w:customStyle="1" w:styleId="TitleChar">
    <w:name w:val="Title Char"/>
    <w:link w:val="Title"/>
    <w:uiPriority w:val="10"/>
    <w:rPr>
      <w:rFonts w:asciiTheme="majorHAnsi" w:cstheme="majorBidi" w:eastAsiaTheme="majorEastAsia" w:hAnsiTheme="majorHAnsi"/>
      <w:color w:val="17375d" w:themeColor="text2" w:themeShade="bf"/>
      <w:spacing w:val="5"/>
      <w:sz w:val="52"/>
      <w:szCs w:val="52"/>
    </w:rPr>
  </w:style>
  <w:style w:type="paragraph" w:styleId="Subtitle">
    <w:name w:val="Subtitle"/>
    <w:link w:val="SubtitleChar"/>
    <w:uiPriority w:val="11"/>
    <w:qFormat w:val="on"/>
    <w:pPr/>
    <w:rPr>
      <w:rFonts w:asciiTheme="majorHAnsi" w:cstheme="majorBidi" w:eastAsiaTheme="majorEastAsia" w:hAnsiTheme="majorHAns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link w:val="Subtitle"/>
    <w:uiPriority w:val="11"/>
    <w:rPr>
      <w:rFonts w:asciiTheme="majorHAnsi" w:cstheme="majorBidi" w:eastAsiaTheme="majorEastAsia" w:hAnsiTheme="majorHAnsi"/>
      <w:i/>
      <w:iCs/>
      <w:color w:val="4f81bd" w:themeColor="accent1"/>
      <w:spacing w:val="15"/>
      <w:sz w:val="24"/>
      <w:szCs w:val="24"/>
    </w:rPr>
  </w:style>
  <w:style w:type="character" w:styleId="SubtleEmphasis">
    <w:name w:val="Subtle Emphasis"/>
    <w:uiPriority w:val="19"/>
    <w:qFormat w:val="on"/>
    <w:rPr>
      <w:i/>
      <w:iCs/>
      <w:color w:val="808080" w:themeColor="text1" w:themeTint="7f"/>
    </w:rPr>
  </w:style>
  <w:style w:type="character" w:styleId="Emphasis">
    <w:name w:val="Emphasis"/>
    <w:uiPriority w:val="20"/>
    <w:qFormat w:val="on"/>
    <w:rPr>
      <w:i/>
      <w:iCs/>
    </w:rPr>
  </w:style>
  <w:style w:type="character" w:styleId="IntenseEmphasis">
    <w:name w:val="Intense Emphasis"/>
    <w:uiPriority w:val="21"/>
    <w:qFormat w:val="on"/>
    <w:rPr>
      <w:b/>
      <w:bCs/>
      <w:i/>
      <w:iCs/>
      <w:color w:val="4f81bd" w:themeColor="accent1"/>
    </w:rPr>
  </w:style>
  <w:style w:type="character" w:styleId="Strong">
    <w:name w:val="Strong"/>
    <w:uiPriority w:val="22"/>
    <w:qFormat w:val="on"/>
    <w:rPr>
      <w:b/>
      <w:bCs/>
    </w:rPr>
  </w:style>
  <w:style w:type="paragraph" w:styleId="Quote">
    <w:name w:val="Quote"/>
    <w:link w:val="QuoteChar"/>
    <w:uiPriority w:val="29"/>
    <w:qFormat w:val="on"/>
    <w:rPr>
      <w:i/>
      <w:iCs/>
      <w:color w:val="000000" w:themeColor="text1"/>
    </w:rPr>
  </w:style>
  <w:style w:type="character" w:customStyle="1" w:styleId="QuoteChar">
    <w:name w:val="Quote Char"/>
    <w:link w:val="Quote"/>
    <w:uiPriority w:val="29"/>
    <w:rPr>
      <w:i/>
      <w:iCs/>
      <w:color w:val="000000" w:themeColor="text1"/>
    </w:rPr>
  </w:style>
  <w:style w:type="paragraph" w:styleId="IntenseQuote">
    <w:name w:val="Intense Quote"/>
    <w:link w:val="IntenseQuoteChar"/>
    <w:uiPriority w:val="30"/>
    <w:qFormat w:val="on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link w:val="IntenseQuote"/>
    <w:uiPriority w:val="30"/>
    <w:rPr>
      <w:b/>
      <w:bCs/>
      <w:i/>
      <w:iCs/>
      <w:color w:val="4f81bd" w:themeColor="accent1"/>
    </w:rPr>
  </w:style>
  <w:style w:type="character" w:styleId="SubtleReference">
    <w:name w:val="Subtle Reference"/>
    <w:uiPriority w:val="31"/>
    <w:qFormat w:val="on"/>
    <w:rPr>
      <w:smallCaps/>
      <w:color w:val="c0504d" w:themeColor="accent2"/>
      <w:u w:val="single"/>
    </w:rPr>
  </w:style>
  <w:style w:type="character" w:styleId="IntenseReference">
    <w:name w:val="Intense Reference"/>
    <w:uiPriority w:val="32"/>
    <w:qFormat w:val="on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uiPriority w:val="33"/>
    <w:qFormat w:val="on"/>
    <w:rPr>
      <w:b/>
      <w:bCs/>
      <w:smallCaps/>
      <w:spacing w:val="5"/>
    </w:rPr>
  </w:style>
  <w:style w:type="paragraph" w:styleId="Footnotetext">
    <w:name w:val="Footnote text"/>
    <w:link w:val="FootnoteTextChar"/>
    <w:uiPriority w:val="99"/>
    <w:semiHidden w:val="on"/>
    <w:unhideWhenUsed w:val="on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 w:val="on"/>
    <w:rPr>
      <w:sz w:val="20"/>
      <w:szCs w:val="20"/>
    </w:rPr>
  </w:style>
  <w:style w:type="character" w:styleId="Footnotereference">
    <w:name w:val="Footnote reference"/>
    <w:uiPriority w:val="99"/>
    <w:semiHidden w:val="on"/>
    <w:unhideWhenUsed w:val="on"/>
    <w:rPr>
      <w:vertAlign w:val="superscript"/>
    </w:rPr>
  </w:style>
  <w:style w:type="paragraph" w:styleId="Endnotetext">
    <w:name w:val="Endnote text"/>
    <w:link w:val="EndnoteTextChar"/>
    <w:uiPriority w:val="99"/>
    <w:semiHidden w:val="on"/>
    <w:unhideWhenUsed w:val="on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 w:val="on"/>
    <w:rPr>
      <w:sz w:val="20"/>
      <w:szCs w:val="20"/>
    </w:rPr>
  </w:style>
  <w:style w:type="character" w:styleId="Endnotereference">
    <w:name w:val="Endnote reference"/>
    <w:uiPriority w:val="99"/>
    <w:semiHidden w:val="on"/>
    <w:unhideWhenUsed w:val="on"/>
    <w:rPr>
      <w:vertAlign w:val="superscript"/>
    </w:rPr>
  </w:style>
  <w:style w:type="paragraph" w:styleId="PlainText">
    <w:name w:val="Plain Text"/>
    <w:link w:val="PlainTextChar"/>
    <w:uiPriority w:val="99"/>
    <w:semiHidden w:val="on"/>
    <w:unhideWhenUsed w:val="on"/>
    <w:pPr>
      <w:spacing w:after="0" w:line="240" w:lineRule="auto"/>
    </w:pPr>
    <w:rPr>
      <w:rFonts w:ascii="Courier New" w:cs="Courier New" w:hAnsi="Courier New"/>
      <w:sz w:val="21"/>
      <w:szCs w:val="21"/>
    </w:rPr>
  </w:style>
  <w:style w:type="character" w:customStyle="1" w:styleId="PlainTextChar">
    <w:name w:val="Plain Text Char"/>
    <w:link w:val="PlainText"/>
    <w:uiPriority w:val="99"/>
    <w:rPr>
      <w:rFonts w:ascii="Courier New" w:cs="Courier New" w:hAnsi="Courier New"/>
      <w:sz w:val="21"/>
      <w:szCs w:val="21"/>
    </w:rPr>
  </w:style>
  <w:style w:type="character" w:customStyle="1" w:styleId="HeaderChar">
    <w:name w:val="Header Char"/>
    <w:uiPriority w:val="99"/>
  </w:style>
  <w:style w:type="character" w:customStyle="1" w:styleId="FooterChar">
    <w:name w:val="Footer Char"/>
    <w:uiPriority w:val="99"/>
  </w:style>
  <w:style w:type="paragraph" w:default="1" w:styleId="Normal">
    <w:name w:val="Normal"/>
    <w:uiPriority w:val="99"/>
    <w:qFormat w:val="on"/>
  </w:style>
  <w:style w:type="paragraph" w:styleId="Heading1">
    <w:name w:val="Heading 1"/>
    <w:basedOn w:val="Normal"/>
    <w:link w:val="Заголовок1Знак"/>
    <w:uiPriority w:val="9"/>
    <w:qFormat w:val="on"/>
    <w:pPr>
      <w:spacing w:before="100" w:after="100" w:line="240" w:lineRule="auto"/>
    </w:pPr>
    <w:rPr>
      <w:rFonts w:ascii="Times New Roman" w:cs="Times New Roman" w:eastAsia="Times New Roman" w:hAnsi="Times New Roman"/>
      <w:b/>
      <w:bCs/>
      <w:sz w:val="48"/>
      <w:szCs w:val="48"/>
    </w:rPr>
  </w:style>
  <w:style w:type="character" w:default="1" w:styleId="DefaultParagraphFont">
    <w:name w:val="Default Paragraph Font"/>
    <w:uiPriority w:val="1"/>
    <w:unhideWhenUsed w:val="on"/>
  </w:style>
  <w:style w:type="table" w:default="1" w:styleId="NormalTable">
    <w:name w:val="Normal Table"/>
    <w:uiPriority w:val="99"/>
    <w:semiHidden w:val="on"/>
    <w:unhideWhenUsed w:val="on"/>
    <w:qFormat w:val="on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 w:val="on"/>
    <w:unhideWhenUsed w:val="on"/>
  </w:style>
  <w:style w:type="paragraph" w:styleId="Normal(Web)">
    <w:name w:val="Normal (Web)"/>
    <w:basedOn w:val="Normal"/>
    <w:uiPriority w:val="99"/>
    <w:unhideWhenUsed w:val="on"/>
    <w:pPr>
      <w:spacing w:before="100" w:after="100" w:line="240" w:lineRule="auto"/>
    </w:pPr>
    <w:rPr>
      <w:rFonts w:ascii="Times New Roman" w:cs="Times New Roman" w:eastAsia="Times New Roman" w:hAnsi="Times New Roman"/>
      <w:sz w:val="24"/>
      <w:szCs w:val="24"/>
    </w:rPr>
  </w:style>
  <w:style w:type="paragraph" w:styleId="ListParagraph">
    <w:name w:val="List Paragraph"/>
    <w:basedOn w:val="Normal"/>
    <w:uiPriority w:val="34"/>
    <w:qFormat w:val="on"/>
    <w:pPr>
      <w:ind w:left="720"/>
      <w:contextualSpacing w:val="on"/>
    </w:pPr>
  </w:style>
  <w:style w:type="paragraph" w:styleId="BalloonText">
    <w:name w:val="Balloon Text"/>
    <w:basedOn w:val="Normal"/>
    <w:link w:val="ТекствыноскиЗнак"/>
    <w:uiPriority w:val="99"/>
    <w:semiHidden w:val="on"/>
    <w:unhideWhenUsed w:val="on"/>
    <w:pPr>
      <w:spacing w:after="0" w:line="240" w:lineRule="auto"/>
    </w:pPr>
    <w:rPr>
      <w:rFonts w:ascii="Tahoma" w:cs="Tahoma" w:hAnsi="Tahoma"/>
      <w:sz w:val="16"/>
      <w:szCs w:val="16"/>
    </w:rPr>
  </w:style>
  <w:style w:type="character" w:customStyle="1" w:styleId="ТекствыноскиЗнак">
    <w:name w:val="Текст выноски Знак"/>
    <w:basedOn w:val="DefaultParagraphFont"/>
    <w:link w:val="BalloonText"/>
    <w:uiPriority w:val="99"/>
    <w:semiHidden w:val="on"/>
    <w:rPr>
      <w:rFonts w:ascii="Tahoma" w:cs="Tahoma" w:hAnsi="Tahoma"/>
      <w:sz w:val="16"/>
      <w:szCs w:val="16"/>
    </w:rPr>
  </w:style>
  <w:style w:type="character" w:customStyle="1" w:styleId="Заголовок1Знак">
    <w:name w:val="Заголовок 1 Знак"/>
    <w:basedOn w:val="DefaultParagraphFont"/>
    <w:link w:val="Heading1"/>
    <w:uiPriority w:val="9"/>
    <w:rPr>
      <w:rFonts w:ascii="Times New Roman" w:cs="Times New Roman" w:eastAsia="Times New Roman" w:hAnsi="Times New Roman"/>
      <w:b/>
      <w:bCs/>
      <w:sz w:val="48"/>
      <w:szCs w:val="48"/>
    </w:rPr>
  </w:style>
  <w:style w:type="table" w:styleId="TableGrid">
    <w:name w:val="Table Grid"/>
    <w:basedOn w:val="NormalTable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semiHidden w:val="on"/>
    <w:unhideWhenUsed w:val="on"/>
    <w:rPr>
      <w:color w:val="0000ff"/>
      <w:u w:val="single"/>
    </w:rPr>
  </w:style>
  <w:style w:type="paragraph" w:styleId="Header">
    <w:name w:val="Header"/>
    <w:basedOn w:val="Normal"/>
    <w:link w:val="ВерхнийколонтитулЗнак"/>
    <w:uiPriority w:val="99"/>
    <w:semiHidden w:val="on"/>
    <w:unhideWhenUsed w:val="on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ВерхнийколонтитулЗнак">
    <w:name w:val="Верхний колонтитул Знак"/>
    <w:basedOn w:val="DefaultParagraphFont"/>
    <w:link w:val="Header"/>
    <w:uiPriority w:val="99"/>
    <w:semiHidden w:val="on"/>
  </w:style>
  <w:style w:type="paragraph" w:styleId="Footer">
    <w:name w:val="Footer"/>
    <w:basedOn w:val="Normal"/>
    <w:link w:val="НижнийколонтитулЗнак"/>
    <w:uiPriority w:val="99"/>
    <w:unhideWhenUsed w:val="on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НижнийколонтитулЗнак">
    <w:name w:val="Нижний колонтитул Знак"/>
    <w:basedOn w:val="DefaultParagraphFont"/>
    <w:link w:val="Footer"/>
    <w:uiPriority w:val="9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9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5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0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33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26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2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24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6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70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5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3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6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1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9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1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5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6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86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numbering" Target="numbering.xml"/><Relationship Id="rId16" Type="http://schemas.openxmlformats.org/officeDocument/2006/relationships/footer" Target="footer1.xm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2" Type="http://schemas.openxmlformats.org/officeDocument/2006/relationships/styles" Target="styles.xml"/><Relationship Id="rId28" Type="http://schemas.openxmlformats.org/officeDocument/2006/relationships/footer" Target="footer1.xml"/><Relationship Id="rId3" Type="http://schemas.openxmlformats.org/officeDocument/2006/relationships/settings" Target="settings.xml"/><Relationship Id="rId38" Type="http://schemas.openxmlformats.org/officeDocument/2006/relationships/footer" Target="footer1.xml"/><Relationship Id="rId39" Type="http://schemas.openxmlformats.org/officeDocument/2006/relationships/image" Target="media/image5.jpeg"/><Relationship Id="rId40" Type="http://schemas.openxmlformats.org/officeDocument/2006/relationships/image" Target="media/image7.jpeg"/><Relationship Id="rId41" Type="http://schemas.openxmlformats.org/officeDocument/2006/relationships/image" Target="media/image9.jpeg"/><Relationship Id="rId42" Type="http://schemas.openxmlformats.org/officeDocument/2006/relationships/image" Target="media/image10.jpeg"/><Relationship Id="rId43" Type="http://schemas.openxmlformats.org/officeDocument/2006/relationships/image" Target="media/image11.png"/><Relationship Id="rId44" Type="http://schemas.openxmlformats.org/officeDocument/2006/relationships/image" Target="media/image12.jpeg"/><Relationship Id="rId45" Type="http://schemas.openxmlformats.org/officeDocument/2006/relationships/image" Target="media/image13.png"/><Relationship Id="rId46" Type="http://schemas.openxmlformats.org/officeDocument/2006/relationships/image" Target="media/image14.jpeg"/><Relationship Id="rId47" Type="http://schemas.openxmlformats.org/officeDocument/2006/relationships/image" Target="media/image15.jpeg"/><Relationship Id="rId48" Type="http://schemas.openxmlformats.org/officeDocument/2006/relationships/footer" Target="footer1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4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openxmlformats.org/officeDocument/2006/relationships/image" Target="media/image2.jpeg"/><Relationship Id="rId9" Type="http://schemas.openxmlformats.org/officeDocument/2006/relationships/image" Target="media/image3.jpeg"/><Relationship Id="rId10" Type="http://schemas.openxmlformats.org/officeDocument/2006/relationships/image" Target="media/image4.jpeg"/><Relationship Id="rId11" Type="http://schemas.openxmlformats.org/officeDocument/2006/relationships/image" Target="media/image5.png"/><Relationship Id="rId12" Type="http://schemas.openxmlformats.org/officeDocument/2006/relationships/image" Target="media/image6.jpeg"/><Relationship Id="rId13" Type="http://schemas.openxmlformats.org/officeDocument/2006/relationships/image" Target="media/image7.png"/><Relationship Id="rId14" Type="http://schemas.openxmlformats.org/officeDocument/2006/relationships/hyperlink" Target="https://ru.wikipedia.org/wiki/%D0%9F%D0%B0%D0%BD%D0%B4%D0%B5%D0%BC%D0%B8%D1%8F_COVID-19" TargetMode="External"/><Relationship Id="rId15" Type="http://schemas.openxmlformats.org/officeDocument/2006/relationships/image" Target="media/image8.jpeg"/><Relationship Id="rId19" Type="http://schemas.openxmlformats.org/officeDocument/2006/relationships/image" Target="media/image5.jpeg"/><Relationship Id="rId20" Type="http://schemas.openxmlformats.org/officeDocument/2006/relationships/image" Target="media/image7.jpeg"/><Relationship Id="rId21" Type="http://schemas.openxmlformats.org/officeDocument/2006/relationships/image" Target="media/image9.jpeg"/><Relationship Id="rId22" Type="http://schemas.openxmlformats.org/officeDocument/2006/relationships/image" Target="media/image10.jpeg"/><Relationship Id="rId23" Type="http://schemas.openxmlformats.org/officeDocument/2006/relationships/image" Target="media/image11.png"/><Relationship Id="rId24" Type="http://schemas.openxmlformats.org/officeDocument/2006/relationships/image" Target="media/image12.jpeg"/><Relationship Id="rId25" Type="http://schemas.openxmlformats.org/officeDocument/2006/relationships/image" Target="media/image13.png"/><Relationship Id="rId26" Type="http://schemas.openxmlformats.org/officeDocument/2006/relationships/image" Target="media/image14.jpeg"/><Relationship Id="rId27" Type="http://schemas.openxmlformats.org/officeDocument/2006/relationships/image" Target="media/image15.jpeg"/><Relationship Id="rId29" Type="http://schemas.openxmlformats.org/officeDocument/2006/relationships/image" Target="media/image1.jpeg"/><Relationship Id="rId30" Type="http://schemas.openxmlformats.org/officeDocument/2006/relationships/image" Target="media/image2.jpeg"/><Relationship Id="rId31" Type="http://schemas.openxmlformats.org/officeDocument/2006/relationships/image" Target="media/image3.jpeg"/><Relationship Id="rId32" Type="http://schemas.openxmlformats.org/officeDocument/2006/relationships/image" Target="media/image4.jpeg"/><Relationship Id="rId33" Type="http://schemas.openxmlformats.org/officeDocument/2006/relationships/image" Target="media/image5.png"/><Relationship Id="rId34" Type="http://schemas.openxmlformats.org/officeDocument/2006/relationships/image" Target="media/image6.jpeg"/><Relationship Id="rId35" Type="http://schemas.openxmlformats.org/officeDocument/2006/relationships/image" Target="media/image7.png"/><Relationship Id="rId36" Type="http://schemas.openxmlformats.org/officeDocument/2006/relationships/image" Target="media/image8.jpeg"/><Relationship Id="rId37" Type="http://schemas.openxmlformats.org/officeDocument/2006/relationships/image" Target="media/image11.jpeg"/></Relationships>
</file>

<file path=word/_rels/endnotes.xml.rels><?xml version="1.0" encoding="UTF-8" standalone="yes"?>
<Relationships xmlns="http://schemas.openxmlformats.org/package/2006/relationships"></Relationships>
</file>

<file path=word/_rels/footer1.xml.rels><?xml version="1.0" encoding="UTF-8" standalone="yes"?>
<Relationships xmlns="http://schemas.openxmlformats.org/package/2006/relationships"></Relationships>
</file>

<file path=word/_rels/footnotes.xml.rels><?xml version="1.0" encoding="UTF-8" standalone="yes"?>
<Relationships xmlns="http://schemas.openxmlformats.org/package/2006/relationships"></Relationships>
</file>

<file path=word/_rels/numbering.xml.rels><?xml version="1.0" encoding="UTF-8" standalone="yes"?>
<Relationships xmlns="http://schemas.openxmlformats.org/package/2006/relationships"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Arab" typeface="Times New Roman"/>
        <a:font script="Beng" typeface="Vrinda"/>
        <a:font script="Cher" typeface="Plantagenet Cherokee"/>
        <a:font script="Deva" typeface="Mangal"/>
        <a:font script="Ethi" typeface="Nyala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ゴシック"/>
      </a:majorFont>
      <a:minorFont>
        <a:latin typeface="Calibri"/>
        <a:ea typeface=""/>
        <a:cs typeface=""/>
        <a:font script="Arab" typeface="Arial"/>
        <a:font script="Beng" typeface="Vrinda"/>
        <a:font script="Cher" typeface="Plantagenet Cherokee"/>
        <a:font script="Deva" typeface="Mangal"/>
        <a:font script="Ethi" typeface="Nyala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明朝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13</Pages>
  <Words>2247</Words>
  <Characters>12808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Lakrica</dc:creator>
  <cp:lastModifiedBy>Author</cp:lastModifiedBy>
</cp:coreProperties>
</file>