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492C" w:rsidRPr="00C5492C" w:rsidRDefault="00C5492C" w:rsidP="00C5492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КОММУНИКАЦИИ РЕГЕНТА И ХОРА</w:t>
      </w:r>
      <w:r w:rsidRPr="00C5492C">
        <w:rPr>
          <w:rFonts w:ascii="Times New Roman" w:hAnsi="Times New Roman" w:cs="Times New Roman"/>
          <w:sz w:val="28"/>
          <w:szCs w:val="28"/>
        </w:rPr>
        <w:t xml:space="preserve"> В ПРОЦЕССЕЕ ИСПОЛНЕНИЯ ПРОИЗВЕДЕНИЙ ЦЕРКОВНО-АКАПЕЛЬНО</w:t>
      </w:r>
      <w:r>
        <w:rPr>
          <w:rFonts w:ascii="Times New Roman" w:hAnsi="Times New Roman" w:cs="Times New Roman"/>
          <w:sz w:val="28"/>
          <w:szCs w:val="28"/>
        </w:rPr>
        <w:t>ГО ЖАНРА</w:t>
      </w:r>
    </w:p>
    <w:p w:rsidR="00C5492C" w:rsidRPr="00C5492C" w:rsidRDefault="00C5492C" w:rsidP="00C54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92C" w:rsidRPr="00C5492C" w:rsidRDefault="00C5492C" w:rsidP="00C549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Pr="00C5492C">
        <w:rPr>
          <w:rFonts w:ascii="Times New Roman" w:hAnsi="Times New Roman" w:cs="Times New Roman"/>
          <w:sz w:val="28"/>
          <w:szCs w:val="28"/>
        </w:rPr>
        <w:t xml:space="preserve"> В</w:t>
      </w:r>
      <w:r w:rsidRPr="00C5492C">
        <w:rPr>
          <w:rFonts w:ascii="Times New Roman" w:hAnsi="Times New Roman" w:cs="Times New Roman"/>
          <w:sz w:val="28"/>
          <w:szCs w:val="28"/>
        </w:rPr>
        <w:t xml:space="preserve"> данной статье на материале известной социологической терминологии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анализируются модели взаимодействия в их априорном ключе. Затрагиваются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проблемы профессиональной коммуникации, где особенное внимание уделяется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формированию коммуникативных барьеров, открывающих возможность конфликта.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Предлагаются пути решения данных проблем.</w:t>
      </w:r>
    </w:p>
    <w:p w:rsidR="00C5492C" w:rsidRPr="00C5492C" w:rsidRDefault="00C5492C" w:rsidP="00C549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C5492C">
        <w:rPr>
          <w:rFonts w:ascii="Times New Roman" w:hAnsi="Times New Roman" w:cs="Times New Roman"/>
          <w:sz w:val="28"/>
          <w:szCs w:val="28"/>
        </w:rPr>
        <w:t xml:space="preserve"> эстетика православного храма, взаимодействие,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коммуникативная среда,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фигуративность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социальных отношений, механическая и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органическая солидарность, коммуникативный барьер.</w:t>
      </w:r>
    </w:p>
    <w:p w:rsidR="00C5492C" w:rsidRPr="00C5492C" w:rsidRDefault="00C5492C" w:rsidP="00C54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92C" w:rsidRPr="00C5492C" w:rsidRDefault="00C5492C" w:rsidP="00C549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Эстетика православного храма – результат устремленности в область непознанного. И,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оказавшись в стенах храма, человек подчас сталкивается с массой затруднений в понимании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того, что означает тот или иной компонент этой эстетической среды. Спектр вопросов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оказывается весьма обширным: от облачений священнослужителей до формы тех или иных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предметов, от иконы и изображений, не идентичных обычным картинам, до церковного пения,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его стилистики и репертуара, от расположения предметов и изображений до самой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архитектурной конструкции храма.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Тем не менее, храм является местом собрания. Люди, собравшись в нем, создают некую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общность, называемую соборностью. Эстетика храма служит своеобразным внешним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транслятором того, что не познано, но открывает горизонт своего познания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сопричастности себе. И человек, так или иначе, коррелирует с этой средой, а в этой среде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друг с другом. Священнослужители от лица собравшихся совершают само богослужение.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или иначе, происходит процесс взаимодействия людей.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Одним из важнейших компонентов эстетической среды православного храма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хор: он задает настрой, направляет молитвенные прошения от лица верующих, он участвует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диалогических компонентах службы между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мирянами и священнослужителями. 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образом, хор является значимым полифункциональным фактором в эстетической среде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православного храма, играя важнейшую связующую роль. Однако хор – это коллектив.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проблема взаимодействия, коммуникации не обходит стороной и его. Имея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богослужебно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C5492C">
        <w:rPr>
          <w:rFonts w:ascii="Times New Roman" w:hAnsi="Times New Roman" w:cs="Times New Roman"/>
          <w:sz w:val="28"/>
          <w:szCs w:val="28"/>
        </w:rPr>
        <w:t>практическую направленность, хор призван делать это эстетично и красиво. Так мы приходим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 проблеме профессиональной коммуникации, когда певцы внутри коллектива стоят 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необходимостью совместного понимания того, что они делают, как и зачем. Коллективная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работа – неотъемлемая часть человеческой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Аристотель в своей «Политике» написал: α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νθρω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>π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ος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ζωον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π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ολιτικον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εστιν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(«человек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существо общественное») [1, с. 378]. И потому совместная деятельность людей существует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столько же, сколько существует человечество. Невозможно себе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жизнедеятельность людей в отрыве друг от друга. Семейный союз или родственный,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этнический или политический, культурный или профессиональный – это сфера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той коммуникативной среды, наличие которой является базовым условием 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 развития, как общества, так и отдельно взятого индивида.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Но с точки зрения взаимодействия людей данное противопоставление можно было 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считать даже не вполне уместным. Очень сложно найти адекватный язык описания моделей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взаимодействия. В социологии существуют разные школы, разные направления исследований,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разные исторические условия, в которых эти исследования проводились, но осталась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терминологическая ткань, которая позволяет нам приблизиться к пониманию сути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взаимодействия как социального феномена. В музыковедении известен такой термин,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«фигурация», который обозначает обогащение музыкальной ткани теми или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компонентами мелодики, ритмики, стилистических приемов. Данный термин немецким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социологом Норбертом Элиасом был экстраполирован и на социальную проблематику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обозначения активной включенности индивида в социальное пространство, где происходит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процесс выстраивания балансировки индивидуальных влияний в цепочках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взаимозависимости. Сама комбинаторика отношений, связей во взаимодействии людей,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или иначе, фигуративна и обогащена личным участием каждой единицы. «Именно тот факт,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что люди изменяются в отношениях друг с другом и через отношения друг к другу, и то,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они постоянно оформляются и преображаются в этих отношениях, и является характерным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для феномена переплетения человеческих взаимозависимостей» [9, с. 44].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Таким образом, и личное, и социальное в образовании фигураций имеют взаимное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переплетение, взаимопроникая друг в друга. «В экзистенциальном диалоге повседневности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складывается своеобразная кластерная или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полифокальная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социология, восходящая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индивидуальному поступку личности. Действуя на основе присущих ему представлений,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человек встречается с поступками и представлениями других людей.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совместного бытия разных индивидов обусловливает интеграцию представлений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последующую объективность в смысле независимости от личных предпочтений.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Объективируясь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, представления в итоге становятся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интерсубъективными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и совместно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формируют парадигму, превращающуюся в абстрактный субъект нормотворчества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организации общественной жизни, в субъект рациональности» [7, с. 59].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Однако фигурация – это область некоторой спонтанности. Находясь в обществе, человек,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так или иначе, испытывает желание внести свой элемент влияния в картину 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 другими людьми: где-то он промолчит, где-то скажет, где-то согласится, а где- то будет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конфликтовать, выражая несогласие. Социолог Михаил Николаевич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Руткевич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>, цитируя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Элиаса, пишет: «Более или менее колеблющиеся балансы власти образуют составной элемент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всех человеческих отношений» [8]. То есть ключевой характеристикой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фигуративности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является феномен власти, понимаемый в самом широком смысле слова,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будучи идентичным понятию наделения субъекта властными полномочиями. Сфера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собственного влияния на те, или иные динамические компоненты в расстановке 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сил понимаются как власть в широком смысле слова.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Нелишне было бы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упомянуть Фридриха Ницше с его концепцией «воли к власти».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Власть может быть диффузной или централизованной, но даже в последнем случае всегда</w:t>
      </w:r>
    </w:p>
    <w:p w:rsidR="00C5492C" w:rsidRDefault="00C5492C" w:rsidP="00C54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находились желающие влиять на представителя власти «из тени» – само по себе это тоже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является частным случаем выражения «воли к власти» [6, с. 418], которая анонсируется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философией жизни, и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фигуративностью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социальных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Здесь возникает закономерный вопрос: может ли вышеописанная фигурация возникать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 профессиональной сфере? Профессиональный союз – это тоже объединение, хотя и имеющее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свою четкую направленность. Сам факт профессиональной деятельности ставит проблему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координирования в системе производственных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Внешне профессиональный коллектив вроде бы также конфигурирован со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«расстановкой сил» с присутствием руководящего звена, подчиненного и 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ту или иную помощь. Но само наличие вертикализации и потребность в 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результативности предполагает упорядоченность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внутриколлективных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связей. Представим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себе, как если бы в какой-то момент выделился один лидер или «оратор», через некоторое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время его сменил бы другой, с которым кто-то бы соглашался, а кто-то спорил и конфликтовал.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Такая направленность отношений даже обывательским сознанием трактуется как хаос,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несовместимый с системой, а потому лишающий производственный процесс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функциональности.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Таким образом, создаются все предпосылки к выработке регламента и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централизованного руководства. С точки зрения эффективности такая модель солидарности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 эффектом «железной руки» вроде бы себя и оправдывает: нет плюрализма мнений,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позволяет минимизировать конфликтные ситуации, есть четкая унификация в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профессиональных отношений. Но есть и оборотная сторона этой медали. Рядовой сотрудник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оказывается исполнителем, у которого мало предпосылок вникать в суть того, что от 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требуется. В таком подходе содержится заметный оттенок механистичности: сотрудник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мыслит себя простым исполнителем указаний, с которыми внутренний диалог в некоторой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мере табуирован. Попытки что-то обсудить с личным участием в решении того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или 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вопроса открывает «риск хаотичности», характерный для фигуративного типа 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Социолог Эмиль Дюркгейм, характеризуя типологию подобных ситуаций на примере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исторических обществ, постулировал два вида солидарности: механическую и органическую.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 хотя речь шла о разных этапах развития обществ, все же это помогает высветить специфику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самой модели социального сознания и в условиях современного (по Дюркгейму, «развитого»)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общества. Дюркгейм культивирует личность. При механической солидарности 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«растворяется» в коллективе. Механическая солидарность присуща неразвитым, архаическим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обществам. Здесь солидарность определяется похожестью составляющих общество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индивидов, аналогичностью социальных функций, выполняемых этими индивидами.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Механическая солидарность возможна посредством поглощения индивидуальности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коллективом. Механической солидарности соответствует жесткий закон, функция которого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репрессировать индивида, который его нарушает. Органическая же солидарность характерна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для развитых обществ, где каждый индивид выполняет специфическую функцию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соответствии с разделением труда. Поскольку разделение труда ослабляет коллективное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сознание, то это становится главным источником органической солидарности.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индивид здесь – личность. Таковы основные концептуальные наброски в рассуждении о двух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типах солидарности в работе Дюркгейма «О разделении общественного труда» [4, с. 103-104].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Возникает дилемма: коллективный принцип организации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взаимодействия способен обеспечить порядок, но при этом также открывает проблему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«механизации» процесса сотрудничества, индивидуальный принцип генерирует, с 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стороны, личную инициативность, но способен создавать угрозу порядку и структуре.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Механистическая парадигма профессиональных отношений ставит сотрудничество «на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поток», создавая большую вероятность формирования в профессиональной коммуникации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барьерного слоя. Принцип «не рассуждать, а делать», отсутствие диалогического компонента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нередко приводит к тому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явлению, которое психологами называется «коммуникативным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барьером».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«Коммуникативный барьер – это психологическое препятствие различного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происхождения, которое реципиент устанавливает на пути нежелательной, утомительной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опасной информации» [2, с. 100]. В профессиональной сфере наиболее близким из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типов барьера является препятствие на пути восприятия утомительной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Воспроизведение одного и того же сценария создает эффект рутины, которая способна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утомить сознание сотрудника и выключить его из деятельностного участия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профессиональной коммуникации. Нередко приходится наблюдать в сотрудничестве эффект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«отбывания повинности». В таких ситуациях часто отсутствует эмоциональный контакт,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процесс коммуникации обретает некую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ритуализированную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форму: отдать дань и забыть.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Таким образом, формирование барьера в профессиональной коммуникации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мощным демотиватором профессионального и творческого развития. Марина Ростиславовна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Битянова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отмечает несколько типов такого барьера по степени их «прозрачности»: избегание,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авторитет, непонимание. Физическое избегание исключает контакт с самим носителем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информации. Каждый взрослый человек в ходе жизни нарабатывает целый арсенал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различных способов избегания контактов с нежелательными лицами. Многие из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банальны: перейти на другую сторону улицы, отвернуться к витринам, достать телефон и т.п.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Психологическое избегание может реализовываться с помощью забывания нежелательной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или ужасающей информации. Также одним из способов избегания является «уход в себя»,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когда реципиент информацию слышал, но так ничего и не услышал. Барьер по позиции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«авторитета» осуществляется, таким образом, при котором информация попадает в сознание,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но по пути существенно обесценивается за счет субъективного снижения авторитетности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ъ</w:t>
      </w:r>
      <w:r w:rsidRPr="00C5492C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источника. Наконец, третья форма–непонимание. «Большая часть нежелательной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информации, помимо воли человека, проходит сквозь достаточно грубые фильтры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избегания и авторитета. Самый тонкий, изощренный способ снизить ее неблагоприятное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воздействие–исказить ее до неузнаваемости, предать ей понятный, близкий или нейтральный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смысл» [2, с. 101].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Из вышеописанного констатируется та проблематичность, которая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формироваться в сфере профессионального взаимодействия. Коммуникативный барьер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создать предпосылки даже к конфликту, уведя нас в область конфликтологии. Завершая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краткую теоретическую часть наших рассуждений, остановимся на трех выявленных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парадигмах взаимодействия, которые условно обозначим такими терминами,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1) «фигуративная» модель, 2) «механическая» и 3) «органическая». Как мы выяснили,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фигуративность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представляет собой некий стихийный порыв человеческой психики оказывать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социальное влияние. В психологии отношений такой феномен действительно существует,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однако он оказывается непригодным к организации профессионального взаимодействия,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условия которого диктуют четкую направленность, структуру и порядок. Однако и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порядка в организации не способно исчерпывать решение всех возникающих проблем. 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организованная отлаженная структура взаимодействия способна создавать эффект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«механистичности», что вызывает в живой коммуникации естественное сопротивление.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Дюркгейм прилагал понятие «механической солидарности» к неразвитым обществам,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выдвигая в качестве основного критерия разделение труда. Но даже при дифференциации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четким распределением профессиональных функций данная модель не освобождает от 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типа солидарности, который тот же Дюркгейм называет «механической». Права личности,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которые отстаивал этот многоуважаемый исследователь, вполне могут быть нейтрализованы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коллективом и при разделении профессиональных функций.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Воздерживаясь от полемики и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ревизионерства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в отношении к той социологической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терминологии, которая открывается нам в исторической ретроспективе, мы все же попытаемся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понять саму интенцию данной проблематики. Механистичность вступает в противоречие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живой коммуникацией, что создает предпосылки к формированию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барьерности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профессиональных отношениях.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Следующая возможная ступень развития этой проблемы – порождение конфликта.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Таким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образом, ход наших рассуждений подводит к третьей модели – к «органической».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аналогии с устройством организмов, где каждый компонент выполняет свою функцию,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становится вполне понятным, почему Дюркгейм приложил антиномию «механики»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«органики» ни к чему иному, как именно к разделению труда. Однако, при более предметном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рассмотрении мы понимаем, что рассматривать жизнь коллектива, сравнивая его с функциями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частей организма, можно лишь методом аналогии: как каждый отдельно взятый компонент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органической структуры исполняет свою функцию, так и каждый отдельно взятый индивид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выполняет исключительно свою профессиональную роль. Но если часть тела не наделена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индивидуальным сознанием, то человеческая личность все же устроена иначе. Социальная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органика открывает нам горизонт понимания своей функции в контексте общего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дела. Каждая отдельно взятая личностная единица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встраивается в общий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структурный организм совместной профессиональной работы. Каждая деятельностная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единица понимает, «что», «как» и «зачем». Таким образом, органика не идентична понятию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когерентности. Органическую модель профессиональной солидарности уместно было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бы описать как конструкцию «железного центра с гибкой периферией», где безусловно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присутствует свой «диктаторский организующий сегмент», но предоставляющий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пространство для личного участия и профессиональной мотивированности. Грубая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познавательная ткань структурируется по принципу дизъюнкции «или так, или так». Железное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твердое центрирование с четко сформулированным предписанием – надежная точка опоры,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исключает из поля зрения тонкие детали, которым соответствует конъюнкция,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предполагающая принцип «и так, и так», где не всегда возможно и даже уместно однозначное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решение. При органической модели сотрудничества необходимо конституировать 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предметную область, которая бы расширяла горизонты личного участия, не переходящего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 «фигуративно-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хаосный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>» тип отношений. Это во многом предполагает вовлечение в ткань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 xml:space="preserve">профессиональной коммуникации интуитивного ресурса </w:t>
      </w:r>
      <w:r w:rsidRPr="00C5492C">
        <w:rPr>
          <w:rFonts w:ascii="Times New Roman" w:hAnsi="Times New Roman" w:cs="Times New Roman"/>
          <w:sz w:val="28"/>
          <w:szCs w:val="28"/>
        </w:rPr>
        <w:lastRenderedPageBreak/>
        <w:t>самого руководителя, который,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также, как и любая другая «органическая» единица, должен понимать, «что», «как»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«зачем».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Для развития русского многоголосия вопросы взаимоотношения регента –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церковного хора и певцов, вопросы коммуникации имеют большое значение. Известно,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«расцвет русского певческого искусства ХVI века в значительной мере был обусловлен тем,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что сами певческие школы становятся все более самостоятельными и каждая из них несет свой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взгляд на певческое искусство, утверждает свой собственный стиль» [5, с. 51]. Это во многом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зависело от характера взаимоотношений регента и певцов хора, складывающихся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воздействием обозначенных в данной статье условий.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Данные рассуждения представлены в сугубо теоретическом ключе, проистекая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«изнутри» концептуальной парадигматики самого сотрудничества. Однако есть и тот аспект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проблемы, который позволяет посмотреть на нее «снаружи». Вариативность «внешней среды»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как совокупности условий сотрудничества весьма обширна и требует специального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рассмотрения.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92C" w:rsidRDefault="00C5492C" w:rsidP="00C54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92C" w:rsidRDefault="00C5492C" w:rsidP="00C5492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C5492C" w:rsidRDefault="00C5492C" w:rsidP="00C54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Аристотель. Сочинения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492C">
        <w:rPr>
          <w:rFonts w:ascii="Times New Roman" w:hAnsi="Times New Roman" w:cs="Times New Roman"/>
          <w:sz w:val="28"/>
          <w:szCs w:val="28"/>
        </w:rPr>
        <w:t xml:space="preserve"> М.: издательство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«Мысль», 1983. 829 с.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Битянова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М. Р. Социальная психология. Наука, практика и образ мыслей. М.: ЭКСМО-пресс, 2001. 576 с.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Грибкова О.В. Творческое развитие личности в процессе обучения</w:t>
      </w:r>
      <w:r w:rsidR="00573BA3"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// Искусство и образование. 2018. № 1 (111). С. 128-135.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Дюркгейм Э. О разделении общественного труда. Одесса: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типография Г. М. Левинсона, 1900. 331 с.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Кабкова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Е. П. Музыкальная культура Москвы: цикл лекций для 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музыкальнопедагогических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вузов: монография. М.: МАО, 2015. 192 с.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Ницше Ф. Воля к власти. Опыт переоценки всех ценностей.</w:t>
      </w:r>
      <w:r w:rsidR="00573BA3">
        <w:rPr>
          <w:rFonts w:ascii="Times New Roman" w:hAnsi="Times New Roman" w:cs="Times New Roman"/>
          <w:sz w:val="28"/>
          <w:szCs w:val="28"/>
        </w:rPr>
        <w:t xml:space="preserve"> М.</w:t>
      </w:r>
      <w:r w:rsidRPr="00C5492C">
        <w:rPr>
          <w:rFonts w:ascii="Times New Roman" w:hAnsi="Times New Roman" w:cs="Times New Roman"/>
          <w:sz w:val="28"/>
          <w:szCs w:val="28"/>
        </w:rPr>
        <w:t>: Культурная революция, 2005. 880 с.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lastRenderedPageBreak/>
        <w:t>Павлов А. В. Логика и методология науки. Современное гуманитарное познание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и его перспективы. М.: «Наука», 2010. 343 с.</w:t>
      </w:r>
    </w:p>
    <w:p w:rsidR="00C5492C" w:rsidRPr="00573BA3" w:rsidRDefault="00C5492C" w:rsidP="00573BA3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492C">
        <w:rPr>
          <w:rFonts w:ascii="Times New Roman" w:hAnsi="Times New Roman" w:cs="Times New Roman"/>
          <w:sz w:val="28"/>
          <w:szCs w:val="28"/>
        </w:rPr>
        <w:t>Руткевич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 xml:space="preserve"> А. М. Историческая социология Норберта Элиаса // Н. Элиас «О</w:t>
      </w:r>
      <w:r w:rsidR="00573BA3">
        <w:rPr>
          <w:rFonts w:ascii="Times New Roman" w:hAnsi="Times New Roman" w:cs="Times New Roman"/>
          <w:sz w:val="28"/>
          <w:szCs w:val="28"/>
        </w:rPr>
        <w:t xml:space="preserve"> </w:t>
      </w:r>
      <w:r w:rsidRPr="00573BA3">
        <w:rPr>
          <w:rFonts w:ascii="Times New Roman" w:hAnsi="Times New Roman" w:cs="Times New Roman"/>
          <w:sz w:val="28"/>
          <w:szCs w:val="28"/>
        </w:rPr>
        <w:t>процессе цивилизации. Социогенетические и психогенетические исследования». Том 2.</w:t>
      </w:r>
      <w:r w:rsidRPr="00573BA3">
        <w:rPr>
          <w:rFonts w:ascii="Times New Roman" w:hAnsi="Times New Roman" w:cs="Times New Roman"/>
          <w:sz w:val="28"/>
          <w:szCs w:val="28"/>
        </w:rPr>
        <w:t xml:space="preserve"> </w:t>
      </w:r>
      <w:r w:rsidRPr="00573BA3">
        <w:rPr>
          <w:rFonts w:ascii="Times New Roman" w:hAnsi="Times New Roman" w:cs="Times New Roman"/>
          <w:sz w:val="28"/>
          <w:szCs w:val="28"/>
        </w:rPr>
        <w:t>Изменения в обществе. Проект теории цивилизации</w:t>
      </w:r>
      <w:r w:rsidR="00573BA3">
        <w:rPr>
          <w:rFonts w:ascii="Times New Roman" w:hAnsi="Times New Roman" w:cs="Times New Roman"/>
          <w:sz w:val="28"/>
          <w:szCs w:val="28"/>
        </w:rPr>
        <w:t>.</w:t>
      </w:r>
      <w:r w:rsidRPr="00573BA3">
        <w:rPr>
          <w:rFonts w:ascii="Times New Roman" w:hAnsi="Times New Roman" w:cs="Times New Roman"/>
          <w:sz w:val="28"/>
          <w:szCs w:val="28"/>
        </w:rPr>
        <w:t xml:space="preserve"> </w:t>
      </w:r>
      <w:r w:rsidRPr="00573BA3">
        <w:rPr>
          <w:rFonts w:ascii="Times New Roman" w:hAnsi="Times New Roman" w:cs="Times New Roman"/>
          <w:sz w:val="28"/>
          <w:szCs w:val="28"/>
        </w:rPr>
        <w:t>Режим доступа: https://studopedia.ru</w:t>
      </w:r>
      <w:r w:rsidR="00573BA3">
        <w:rPr>
          <w:rFonts w:ascii="Times New Roman" w:hAnsi="Times New Roman" w:cs="Times New Roman"/>
          <w:sz w:val="28"/>
          <w:szCs w:val="28"/>
        </w:rPr>
        <w:t>.</w:t>
      </w:r>
    </w:p>
    <w:p w:rsidR="00C5492C" w:rsidRPr="00C5492C" w:rsidRDefault="00C5492C" w:rsidP="00C5492C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492C">
        <w:rPr>
          <w:rFonts w:ascii="Times New Roman" w:hAnsi="Times New Roman" w:cs="Times New Roman"/>
          <w:sz w:val="28"/>
          <w:szCs w:val="28"/>
        </w:rPr>
        <w:t>Уколова Л.И. Дирижирование</w:t>
      </w:r>
      <w:r w:rsidR="00573BA3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// учебник для студентов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учреждений среднего и высшего профессионального образования, обучающихся по</w:t>
      </w:r>
      <w:r w:rsidRPr="00C5492C">
        <w:rPr>
          <w:rFonts w:ascii="Times New Roman" w:hAnsi="Times New Roman" w:cs="Times New Roman"/>
          <w:sz w:val="28"/>
          <w:szCs w:val="28"/>
        </w:rPr>
        <w:t xml:space="preserve"> </w:t>
      </w:r>
      <w:r w:rsidRPr="00C5492C">
        <w:rPr>
          <w:rFonts w:ascii="Times New Roman" w:hAnsi="Times New Roman" w:cs="Times New Roman"/>
          <w:sz w:val="28"/>
          <w:szCs w:val="28"/>
        </w:rPr>
        <w:t>специальности «Музыкальное образование» «Педагогическое образование»</w:t>
      </w:r>
      <w:r w:rsidR="00573BA3">
        <w:rPr>
          <w:rFonts w:ascii="Times New Roman" w:hAnsi="Times New Roman" w:cs="Times New Roman"/>
          <w:sz w:val="28"/>
          <w:szCs w:val="28"/>
        </w:rPr>
        <w:t xml:space="preserve">. М.: </w:t>
      </w:r>
      <w:r w:rsidRPr="00C5492C">
        <w:rPr>
          <w:rFonts w:ascii="Times New Roman" w:hAnsi="Times New Roman" w:cs="Times New Roman"/>
          <w:sz w:val="28"/>
          <w:szCs w:val="28"/>
        </w:rPr>
        <w:t>Издательство «</w:t>
      </w:r>
      <w:proofErr w:type="spellStart"/>
      <w:r w:rsidRPr="00C5492C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5492C">
        <w:rPr>
          <w:rFonts w:ascii="Times New Roman" w:hAnsi="Times New Roman" w:cs="Times New Roman"/>
          <w:sz w:val="28"/>
          <w:szCs w:val="28"/>
        </w:rPr>
        <w:t>». 2003. 208с.</w:t>
      </w:r>
    </w:p>
    <w:sectPr w:rsidR="00C5492C" w:rsidRPr="00C54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71C7"/>
    <w:multiLevelType w:val="hybridMultilevel"/>
    <w:tmpl w:val="1BA4E02C"/>
    <w:lvl w:ilvl="0" w:tplc="79C4C034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52C91"/>
    <w:multiLevelType w:val="hybridMultilevel"/>
    <w:tmpl w:val="C156773E"/>
    <w:lvl w:ilvl="0" w:tplc="29527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055625">
    <w:abstractNumId w:val="1"/>
  </w:num>
  <w:num w:numId="2" w16cid:durableId="154968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2C"/>
    <w:rsid w:val="00573BA3"/>
    <w:rsid w:val="00C5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D9E784"/>
  <w15:chartTrackingRefBased/>
  <w15:docId w15:val="{9B514136-314A-6849-B184-7E87B3F3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2124</Words>
  <Characters>16253</Characters>
  <Application>Microsoft Office Word</Application>
  <DocSecurity>0</DocSecurity>
  <Lines>338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2023-12-22T08:40:00Z</dcterms:created>
  <dcterms:modified xsi:type="dcterms:W3CDTF">2023-12-22T08:58:00Z</dcterms:modified>
</cp:coreProperties>
</file>