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D0F" w:rsidRPr="00D55B03" w:rsidRDefault="00B34D0F" w:rsidP="00B34D0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ЛОБАШОВА ОЛЬГА ФЕДОРОВНА </w:t>
      </w:r>
    </w:p>
    <w:p w:rsidR="00B34D0F" w:rsidRPr="00D55B03" w:rsidRDefault="00B34D0F" w:rsidP="00B34D0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5B03">
        <w:rPr>
          <w:rFonts w:ascii="Times New Roman" w:hAnsi="Times New Roman" w:cs="Times New Roman"/>
          <w:b/>
          <w:sz w:val="28"/>
          <w:szCs w:val="28"/>
        </w:rPr>
        <w:t>Г. Челябинск, Частное общеобразовательное учреждение высшего образования «Международный Институт Дизайна и Сервиса»</w:t>
      </w:r>
    </w:p>
    <w:p w:rsidR="00ED3E1F" w:rsidRPr="00B34D0F" w:rsidRDefault="00ED3E1F" w:rsidP="00B34D0F">
      <w:pPr>
        <w:rPr>
          <w:sz w:val="28"/>
        </w:rPr>
      </w:pPr>
    </w:p>
    <w:p w:rsidR="00ED3E1F" w:rsidRPr="00B34D0F" w:rsidRDefault="00B34D0F" w:rsidP="00B34D0F">
      <w:pPr>
        <w:jc w:val="both"/>
        <w:rPr>
          <w:rFonts w:ascii="Times New Roman" w:hAnsi="Times New Roman" w:cs="Times New Roman"/>
          <w:b/>
          <w:sz w:val="28"/>
        </w:rPr>
      </w:pPr>
      <w:r w:rsidRPr="00B34D0F">
        <w:rPr>
          <w:rFonts w:ascii="Times New Roman" w:hAnsi="Times New Roman" w:cs="Times New Roman"/>
          <w:b/>
          <w:sz w:val="28"/>
        </w:rPr>
        <w:t>ПРОЕКТНО-ИССЛЕДОВАТЕЛЬСКАЯ ДЕЯТЕЛЬНОСТЬ КАК СРЕДСТВО РАЗВИТИЯ ФУНКЦИОНАЛЬНОЙ МАТЕМАТИЧЕСКОЙ ГРАМОТНОСТИ В 7–9 КЛАССАХ</w:t>
      </w:r>
    </w:p>
    <w:p w:rsidR="00ED3E1F" w:rsidRPr="00B34D0F" w:rsidRDefault="00ED3E1F" w:rsidP="00B34D0F"/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 xml:space="preserve">Аннотация. В статье обоснована педагогическая целесообразность использования проектно-исследовательской деятельности как основного инструмента формирования функциональной математической грамотности учащихся 7–9 классов в соответствии с требованиями обновлённого ФГОС основного общего образования. Представлена авторская модель интеграции учебных проектов в содержание курсов алгебры и геометрии, разработаны диагностические рубрики для оценки уровней математической грамотности и рефлексивных практик. На материалах педагогического эксперимента доказана статистически значимая эффективность проектного подхода: учащиеся экспериментальной группы демонстрируют устойчивый рост навыков применения математических знаний в жизненных и 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 xml:space="preserve"> контекстах, снижение доли алгоритмических ошибок и повышение качества аргументации при решении практико-ориентированных задач.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i/>
          <w:sz w:val="28"/>
          <w:szCs w:val="28"/>
        </w:rPr>
        <w:t>Ключевые слова</w:t>
      </w:r>
      <w:r w:rsidRPr="00B34D0F">
        <w:rPr>
          <w:rFonts w:ascii="Times New Roman" w:hAnsi="Times New Roman" w:cs="Times New Roman"/>
          <w:sz w:val="28"/>
          <w:szCs w:val="28"/>
        </w:rPr>
        <w:t xml:space="preserve">: функциональная математическая грамотность, проектно-исследовательская деятельность, ФГОС основного общего образования, 7–9 классы, практико-ориентированные задачи, диагностика учебных достижений, педагогический эксперимент, 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 xml:space="preserve"> результаты.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E1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4D0F" w:rsidRPr="00B34D0F" w:rsidRDefault="00B34D0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lastRenderedPageBreak/>
        <w:t xml:space="preserve"> ВВЕДЕНИЕ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 xml:space="preserve">Обновлённый Федеральный государственный образовательный стандарт основного общего образования (ФГОС ООО) определяет функциональную грамотность как ключевой результат обучения, требующий от учащихся способности применять математические знания, методы и инструменты для анализа, интерпретации и решения задач в реальных жизненных, профессиональных и социальных ситуациях [1]. В условиях перехода от репродуктивного усвоения к 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деятельностному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 xml:space="preserve"> подходу традиционные формы урока математики часто не обеспечивают достаточной практики контекстного моделирования, работы с неполными данными, верификации результатов и аргументированного обоснования выбора стратегии решения.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>Проектно-исследовательская деятельность (ПИД) выступает естественным педагогическим механизмом, позволяющим транслировать абстрактные математические конструкции в прикладные задачи, требующие планирования, сбора и обработки информации, построения моделей и презентации выводов [2]. Однако на практике интеграция ПИД в курс математики 7–9 классов сталкивается с рядом трудностей: отсутствие системной диагностики уровней грамотности, сложность оценивания процессуальных результатов, дефицит методических разработок, связывающих проектную работу с конкретными темами рабочей программы.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>Цель исследования: разработать и апробировать методическую модель проектно-исследовательской деятельности, направленную на развитие функциональной математической грамотности учащихся 7–9 классов в условиях реализации ФГОС ООО.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>Задачи: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lastRenderedPageBreak/>
        <w:t>1. Определить структурные компоненты функциональной математической грамотности, релевантные для основной школы, и соотнести их с этапами проектной деятельности.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>2. Разработать диагностический инструментарий для оценки динамики сформированности математической грамотности и проектных компетенций.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>3. Спроектировать систему учебных проектов, интегрированных в тематическое планирование алгебры и геометрии 7–9 классов.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>4. Провести педагогический эксперимент и оценить эффективность предложенной модели по количественным и качественным показателям.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>МЕТОДЫ И ФОРМЫ ОРГАНИЗАЦИИ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 xml:space="preserve">Теоретическую основу исследования составили положения системно-деятельностного подхода (А.Г. 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Асмолов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 xml:space="preserve">, В.В. Давыдов), концепция функциональной грамотности в рамках международных исследований PISA (OECD) и их адаптация в отечественной методике (Г.С. Ковалёва, О.Б. Логинова, А.А. Краснов), а также методология проектного обучения в естественно-математическом цикле (Е.С. 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Полат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>, И.С. Сергеев) [3–5].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>Авторская модель ПИД включает четыре взаимосвязанных модуля, реализуемых в течение двух учебных лет (7–8 классы – базовый уровень, 9 класс – профильно-ориентированный):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>1. Контекстно-постановочный модуль. Формулировка проблемы на основе реальных ситуаций: анализ коммунальных тарифов, оптимизация школьного бюджета, моделирование транспортных потоков, расчёт экологических показателей, геометрическое проектирование. Учащиеся учатся переводить бытовую или научно-популярную формулировку на язык математических переменных, функций, уравнений или геометрических конструкций.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>2. Процессуально-аналитический модуль. Реализуется в форме мини-исследований (1–2 недели) и среднесрочных проектов (3–4 недели). Используются формы: групповая проектная лаборатория, парная работа с распределением ролей (аналитик данных, моделист, верификатор, оформитель), индивидуальные исследовательские треки. Обязательным элементом является ведение «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проекного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 xml:space="preserve"> дневника», фиксирующего гипотезы, промежуточные расчёты, ошибки и корректировки стратегии.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Технологическо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>-инструментальный модуль. Интеграция цифровых сред: табличные процессоры (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Google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Sheets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 xml:space="preserve">) для обработки массивов данных, 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GeoGebra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Desmos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 xml:space="preserve"> для визуализации функций и геометрических моделей, онлайн-опросники для сбора первичных данных, LMS-платформы для хранения версий работ и 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peer-review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>. Цифровые инструменты используются не как самоцель, а как средство снижения когнитивной нагрузки при рутинных операциях и повышения точности моделирования.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>4. Оценочно-рефлексивный модуль.</w:t>
      </w:r>
      <w:r w:rsidR="00B34D0F">
        <w:rPr>
          <w:rFonts w:ascii="Times New Roman" w:hAnsi="Times New Roman" w:cs="Times New Roman"/>
          <w:sz w:val="28"/>
          <w:szCs w:val="28"/>
        </w:rPr>
        <w:t xml:space="preserve"> </w:t>
      </w:r>
      <w:r w:rsidRPr="00B34D0F">
        <w:rPr>
          <w:rFonts w:ascii="Times New Roman" w:hAnsi="Times New Roman" w:cs="Times New Roman"/>
          <w:sz w:val="28"/>
          <w:szCs w:val="28"/>
        </w:rPr>
        <w:t>Внедрена многоуровневая рубрика оценивания проекта, соответствующая критериям ФГОС:</w:t>
      </w:r>
    </w:p>
    <w:p w:rsidR="00ED3E1F" w:rsidRPr="00B34D0F" w:rsidRDefault="00B34D0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  - Содержательный уровень:</w:t>
      </w:r>
      <w:r w:rsidR="00ED3E1F" w:rsidRPr="00B34D0F">
        <w:rPr>
          <w:rFonts w:ascii="Times New Roman" w:hAnsi="Times New Roman" w:cs="Times New Roman"/>
          <w:sz w:val="28"/>
          <w:szCs w:val="28"/>
        </w:rPr>
        <w:t xml:space="preserve"> корректность математической модели, адекватность выводов, учёт ограничений;</w:t>
      </w:r>
    </w:p>
    <w:p w:rsidR="00ED3E1F" w:rsidRPr="00B34D0F" w:rsidRDefault="00B34D0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  - </w:t>
      </w:r>
      <w:r w:rsidR="00ED3E1F" w:rsidRPr="00B34D0F">
        <w:rPr>
          <w:rFonts w:ascii="Times New Roman" w:hAnsi="Times New Roman" w:cs="Times New Roman"/>
          <w:sz w:val="28"/>
          <w:szCs w:val="28"/>
        </w:rPr>
        <w:t>Процессуальный уровень: качество планирования, распределение ролей, использование источников, адаптация к трудностям;</w:t>
      </w:r>
    </w:p>
    <w:p w:rsidR="00ED3E1F" w:rsidRPr="00B34D0F" w:rsidRDefault="00B34D0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  - Рефлексивный уровень:</w:t>
      </w:r>
      <w:r w:rsidR="00ED3E1F" w:rsidRPr="00B34D0F">
        <w:rPr>
          <w:rFonts w:ascii="Times New Roman" w:hAnsi="Times New Roman" w:cs="Times New Roman"/>
          <w:sz w:val="28"/>
          <w:szCs w:val="28"/>
        </w:rPr>
        <w:t xml:space="preserve"> глубина анализа ошибок, обоснование выбранного метода, предложение путей улучшения модели;</w:t>
      </w:r>
    </w:p>
    <w:p w:rsidR="00ED3E1F" w:rsidRPr="00B34D0F" w:rsidRDefault="00B34D0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  - Коммуникативный уровень:</w:t>
      </w:r>
      <w:r w:rsidR="00ED3E1F" w:rsidRPr="00B34D0F">
        <w:rPr>
          <w:rFonts w:ascii="Times New Roman" w:hAnsi="Times New Roman" w:cs="Times New Roman"/>
          <w:sz w:val="28"/>
          <w:szCs w:val="28"/>
        </w:rPr>
        <w:t xml:space="preserve"> структурированность презентации, аргументация, ответы на вопросы аудитории.</w:t>
      </w:r>
    </w:p>
    <w:p w:rsid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 xml:space="preserve">   Оценивание сочетает экспертный контроль учителя, само- и 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взаимооценку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 xml:space="preserve"> по дескрипторам, а также внешнюю 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валидацию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 xml:space="preserve"> через защиту проекта на школьной конференции.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lastRenderedPageBreak/>
        <w:t>ДИАГНОСТИКА И РЕЗУЛЬТАТЫ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 xml:space="preserve">Педагогический эксперимент проводился в 2024/2025 учебном году на базе </w:t>
      </w:r>
      <w:r w:rsidR="00B34D0F">
        <w:rPr>
          <w:rFonts w:ascii="Times New Roman" w:hAnsi="Times New Roman" w:cs="Times New Roman"/>
          <w:sz w:val="28"/>
          <w:szCs w:val="28"/>
        </w:rPr>
        <w:t xml:space="preserve">ЧОУ ВО МИДиС общеобразовательной школы «7 </w:t>
      </w:r>
      <w:proofErr w:type="spellStart"/>
      <w:r w:rsidR="00B34D0F">
        <w:rPr>
          <w:rFonts w:ascii="Times New Roman" w:hAnsi="Times New Roman" w:cs="Times New Roman"/>
          <w:sz w:val="28"/>
          <w:szCs w:val="28"/>
        </w:rPr>
        <w:t>ключей»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 xml:space="preserve"> г. </w:t>
      </w:r>
      <w:r w:rsidR="00B34D0F">
        <w:rPr>
          <w:rFonts w:ascii="Times New Roman" w:hAnsi="Times New Roman" w:cs="Times New Roman"/>
          <w:sz w:val="28"/>
          <w:szCs w:val="28"/>
        </w:rPr>
        <w:t>Челябинска</w:t>
      </w:r>
      <w:r w:rsidRPr="00B34D0F">
        <w:rPr>
          <w:rFonts w:ascii="Times New Roman" w:hAnsi="Times New Roman" w:cs="Times New Roman"/>
          <w:sz w:val="28"/>
          <w:szCs w:val="28"/>
        </w:rPr>
        <w:t xml:space="preserve">. В исследовании участвовали 58 учащихся 7–9 классов, разделённых на экспериментальную (ЭГ, n=30) и контрольную (КГ, n=28) группы. Группы были сопоставимы по исходному уровню предметных и 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 xml:space="preserve"> результатов (входной балл по диагностике: ЭГ – 54,2±5,1, КГ – 53,8±5,3; p&gt;0,05 по t-критерию Стьюдента).</w:t>
      </w:r>
    </w:p>
    <w:p w:rsidR="00ED3E1F" w:rsidRPr="00B34D0F" w:rsidRDefault="00ED3E1F" w:rsidP="00B34D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>Диа</w:t>
      </w:r>
      <w:r w:rsidR="00B34D0F">
        <w:rPr>
          <w:rFonts w:ascii="Times New Roman" w:hAnsi="Times New Roman" w:cs="Times New Roman"/>
          <w:sz w:val="28"/>
          <w:szCs w:val="28"/>
        </w:rPr>
        <w:t>гностический комплекс включал: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>- Адаптированный тест функциональной математической грамотности (24 задания, 4 контекстных блока, α-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Кронбаха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 xml:space="preserve"> = 0,79);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>- Рубрика оценки проектных работ (4 уровня: фрагментарный, алгоритмический, аналитический, исследовательский);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>- Карта фиксации типов ошибок (контекстуальные, модельные, вычислительные, интерпретационные, оформительские);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 xml:space="preserve">- Опросник учебной мотивации и самооценки проектных компетенций (шкала 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Лайкерта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 xml:space="preserve"> 1–5).</w:t>
      </w:r>
    </w:p>
    <w:p w:rsidR="00ED3E1F" w:rsidRPr="00B34D0F" w:rsidRDefault="00B34D0F" w:rsidP="00B34D0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эксперимента:</w:t>
      </w:r>
    </w:p>
    <w:tbl>
      <w:tblPr>
        <w:tblStyle w:val="a4"/>
        <w:tblW w:w="10094" w:type="dxa"/>
        <w:tblInd w:w="-572" w:type="dxa"/>
        <w:tblLook w:val="04A0" w:firstRow="1" w:lastRow="0" w:firstColumn="1" w:lastColumn="0" w:noHBand="0" w:noVBand="1"/>
      </w:tblPr>
      <w:tblGrid>
        <w:gridCol w:w="4390"/>
        <w:gridCol w:w="1210"/>
        <w:gridCol w:w="1350"/>
        <w:gridCol w:w="1210"/>
        <w:gridCol w:w="1210"/>
        <w:gridCol w:w="888"/>
      </w:tblGrid>
      <w:tr w:rsidR="00B34D0F" w:rsidTr="00363CA1">
        <w:tc>
          <w:tcPr>
            <w:tcW w:w="4390" w:type="dxa"/>
          </w:tcPr>
          <w:p w:rsidR="00B34D0F" w:rsidRDefault="00B34D0F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210" w:type="dxa"/>
          </w:tcPr>
          <w:p w:rsidR="00B34D0F" w:rsidRDefault="00B34D0F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ЭГ (до)</w:t>
            </w:r>
          </w:p>
        </w:tc>
        <w:tc>
          <w:tcPr>
            <w:tcW w:w="1210" w:type="dxa"/>
          </w:tcPr>
          <w:p w:rsidR="00B34D0F" w:rsidRDefault="00B34D0F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ЭГ (после)</w:t>
            </w:r>
          </w:p>
        </w:tc>
        <w:tc>
          <w:tcPr>
            <w:tcW w:w="1210" w:type="dxa"/>
          </w:tcPr>
          <w:p w:rsidR="00B34D0F" w:rsidRDefault="00B34D0F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КГ (до)</w:t>
            </w:r>
          </w:p>
        </w:tc>
        <w:tc>
          <w:tcPr>
            <w:tcW w:w="1210" w:type="dxa"/>
          </w:tcPr>
          <w:p w:rsidR="00B34D0F" w:rsidRDefault="00B34D0F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КГ (после)</w:t>
            </w:r>
          </w:p>
        </w:tc>
        <w:tc>
          <w:tcPr>
            <w:tcW w:w="864" w:type="dxa"/>
          </w:tcPr>
          <w:p w:rsidR="00B34D0F" w:rsidRDefault="00B34D0F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Δ (ЭГ)</w:t>
            </w:r>
          </w:p>
        </w:tc>
      </w:tr>
      <w:tr w:rsidR="00B34D0F" w:rsidTr="00363CA1">
        <w:tc>
          <w:tcPr>
            <w:tcW w:w="4390" w:type="dxa"/>
          </w:tcPr>
          <w:p w:rsidR="00B34D0F" w:rsidRDefault="00B34D0F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Балл по тесту функциональной грамотности (макс. 48)</w:t>
            </w:r>
          </w:p>
        </w:tc>
        <w:tc>
          <w:tcPr>
            <w:tcW w:w="1210" w:type="dxa"/>
          </w:tcPr>
          <w:p w:rsidR="00B34D0F" w:rsidRDefault="00B34D0F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21,4±3,8</w:t>
            </w:r>
          </w:p>
        </w:tc>
        <w:tc>
          <w:tcPr>
            <w:tcW w:w="1210" w:type="dxa"/>
          </w:tcPr>
          <w:p w:rsidR="00B34D0F" w:rsidRDefault="00B34D0F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34,6±3,1</w:t>
            </w:r>
            <w:r w:rsidR="00363CA1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10" w:type="dxa"/>
          </w:tcPr>
          <w:p w:rsidR="00B34D0F" w:rsidRDefault="00B34D0F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21,1±3,9</w:t>
            </w:r>
          </w:p>
        </w:tc>
        <w:tc>
          <w:tcPr>
            <w:tcW w:w="1210" w:type="dxa"/>
          </w:tcPr>
          <w:p w:rsidR="00B34D0F" w:rsidRDefault="00B34D0F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25,3±4,0</w:t>
            </w:r>
          </w:p>
        </w:tc>
        <w:tc>
          <w:tcPr>
            <w:tcW w:w="864" w:type="dxa"/>
          </w:tcPr>
          <w:p w:rsidR="00B34D0F" w:rsidRDefault="00B34D0F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+13,2</w:t>
            </w:r>
          </w:p>
        </w:tc>
      </w:tr>
      <w:tr w:rsidR="00B34D0F" w:rsidTr="00363CA1">
        <w:tc>
          <w:tcPr>
            <w:tcW w:w="4390" w:type="dxa"/>
          </w:tcPr>
          <w:p w:rsidR="00B34D0F" w:rsidRDefault="00B34D0F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Доля проектов на аналитическом/исследовательском уровнях</w:t>
            </w:r>
          </w:p>
        </w:tc>
        <w:tc>
          <w:tcPr>
            <w:tcW w:w="1210" w:type="dxa"/>
          </w:tcPr>
          <w:p w:rsidR="00B34D0F" w:rsidRDefault="00B34D0F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  <w:tc>
          <w:tcPr>
            <w:tcW w:w="1210" w:type="dxa"/>
          </w:tcPr>
          <w:p w:rsidR="00B34D0F" w:rsidRDefault="00B34D0F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62%*</w:t>
            </w:r>
          </w:p>
        </w:tc>
        <w:tc>
          <w:tcPr>
            <w:tcW w:w="1210" w:type="dxa"/>
          </w:tcPr>
          <w:p w:rsidR="00B34D0F" w:rsidRDefault="00363CA1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1210" w:type="dxa"/>
          </w:tcPr>
          <w:p w:rsidR="00B34D0F" w:rsidRDefault="00363CA1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31%</w:t>
            </w:r>
          </w:p>
        </w:tc>
        <w:tc>
          <w:tcPr>
            <w:tcW w:w="864" w:type="dxa"/>
          </w:tcPr>
          <w:p w:rsidR="00B34D0F" w:rsidRDefault="00363CA1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+44%</w:t>
            </w:r>
          </w:p>
        </w:tc>
      </w:tr>
      <w:tr w:rsidR="00B34D0F" w:rsidTr="00363CA1">
        <w:tc>
          <w:tcPr>
            <w:tcW w:w="4390" w:type="dxa"/>
          </w:tcPr>
          <w:p w:rsidR="00B34D0F" w:rsidRDefault="00363CA1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Контекстуальные и интерпретационные ошибки (среднее на проект)</w:t>
            </w:r>
          </w:p>
        </w:tc>
        <w:tc>
          <w:tcPr>
            <w:tcW w:w="1210" w:type="dxa"/>
          </w:tcPr>
          <w:p w:rsidR="00B34D0F" w:rsidRDefault="00363CA1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1210" w:type="dxa"/>
          </w:tcPr>
          <w:p w:rsidR="00B34D0F" w:rsidRDefault="00363CA1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1,1*</w:t>
            </w:r>
          </w:p>
        </w:tc>
        <w:tc>
          <w:tcPr>
            <w:tcW w:w="1210" w:type="dxa"/>
          </w:tcPr>
          <w:p w:rsidR="00B34D0F" w:rsidRDefault="00363CA1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210" w:type="dxa"/>
          </w:tcPr>
          <w:p w:rsidR="00B34D0F" w:rsidRDefault="00363CA1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864" w:type="dxa"/>
          </w:tcPr>
          <w:p w:rsidR="00B34D0F" w:rsidRDefault="00363CA1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–1,8</w:t>
            </w:r>
          </w:p>
        </w:tc>
      </w:tr>
      <w:tr w:rsidR="00B34D0F" w:rsidTr="00363CA1">
        <w:tc>
          <w:tcPr>
            <w:tcW w:w="4390" w:type="dxa"/>
          </w:tcPr>
          <w:p w:rsidR="00B34D0F" w:rsidRDefault="00363CA1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Уровень самооценки проектных компетенций (шкала 1–5)</w:t>
            </w:r>
          </w:p>
        </w:tc>
        <w:tc>
          <w:tcPr>
            <w:tcW w:w="1210" w:type="dxa"/>
          </w:tcPr>
          <w:p w:rsidR="00B34D0F" w:rsidRDefault="00363CA1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1210" w:type="dxa"/>
          </w:tcPr>
          <w:p w:rsidR="00B34D0F" w:rsidRDefault="00363CA1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4,2*</w:t>
            </w:r>
          </w:p>
        </w:tc>
        <w:tc>
          <w:tcPr>
            <w:tcW w:w="1210" w:type="dxa"/>
          </w:tcPr>
          <w:p w:rsidR="00B34D0F" w:rsidRDefault="00363CA1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1210" w:type="dxa"/>
          </w:tcPr>
          <w:p w:rsidR="00B34D0F" w:rsidRDefault="00363CA1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864" w:type="dxa"/>
          </w:tcPr>
          <w:p w:rsidR="00B34D0F" w:rsidRDefault="00363CA1" w:rsidP="00B34D0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D0F">
              <w:rPr>
                <w:rFonts w:ascii="Times New Roman" w:hAnsi="Times New Roman" w:cs="Times New Roman"/>
                <w:sz w:val="28"/>
                <w:szCs w:val="28"/>
              </w:rPr>
              <w:t>+1,5</w:t>
            </w:r>
          </w:p>
        </w:tc>
      </w:tr>
    </w:tbl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E1F" w:rsidRPr="00B34D0F" w:rsidRDefault="00363CA1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Примечание: </w:t>
      </w:r>
      <w:r w:rsidR="00ED3E1F" w:rsidRPr="00B34D0F">
        <w:rPr>
          <w:rFonts w:ascii="Times New Roman" w:hAnsi="Times New Roman" w:cs="Times New Roman"/>
          <w:sz w:val="28"/>
          <w:szCs w:val="28"/>
        </w:rPr>
        <w:t xml:space="preserve"> –</w:t>
      </w:r>
      <w:proofErr w:type="gramEnd"/>
      <w:r w:rsidR="00ED3E1F" w:rsidRPr="00B34D0F">
        <w:rPr>
          <w:rFonts w:ascii="Times New Roman" w:hAnsi="Times New Roman" w:cs="Times New Roman"/>
          <w:sz w:val="28"/>
          <w:szCs w:val="28"/>
        </w:rPr>
        <w:t xml:space="preserve"> статистически значимое различие (p &lt; 0,05, критерий Манна–Уитни и t-критерий для </w:t>
      </w:r>
      <w:r>
        <w:rPr>
          <w:rFonts w:ascii="Times New Roman" w:hAnsi="Times New Roman" w:cs="Times New Roman"/>
          <w:sz w:val="28"/>
          <w:szCs w:val="28"/>
        </w:rPr>
        <w:t>зависимых/независимых выборок).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>Анализ проектных портфолио показал, что учащиеся ЭГ стали систематически применять методы верификации моделей (подстановка граничных значений, проверка размерностей, сопоставление с эмпирическими данными), аргументированно обосновывать выбор математического аппарата и корректно интерпретировать результаты в исходном контексте задачи. Качество устных защит оценивалось внешними экспертами на 1,4 балла выше по шкале аргументации и логической связности. При этом нагрузка на учащихся не превышала нормативных показателей, так как проекты были встроены в тематические блоки программы (линейные и квадратичные функции, статистика, геометрические преобразования, теоремы подобия).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E1F" w:rsidRPr="00B34D0F" w:rsidRDefault="00ED3E1F" w:rsidP="00363CA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>РЕФЛЕКСИЯ И ПЕРСПЕКТИВЫ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 xml:space="preserve">Реализация проектной модели потребовала пересмотра традиционной структуры урока: часть учебного времени выделяется на исследовательские сессии, консультативные встречи и 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формативное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 xml:space="preserve"> оценивание промежуточных этапов. На старте эксперимента наблюдалась трудность в формулировке гипотез и работе с «неструктурированными» данными, что компенсировалось введением тренировочных микро-кейсов и пошаговых инструкций по построению математических моделей.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>Ограничениями исследования являются региональная специфика выборки и относительно короткий период наблюдения. В перспективе планируется: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lastRenderedPageBreak/>
        <w:t xml:space="preserve">- расширение 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межпредметного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 xml:space="preserve"> взаимодействия (математика + биология/география/информатика) в рамках школьных исследовательских треков;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>- разработка цифрового банка контекстных задач с автоматизированной диагностикой паттернов ошибок;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>- создание методического пособия для учителей основной школы с примерами интеграции ПИД в тематическое планирование по обновлённым программам;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 xml:space="preserve">- проведение сетевого педагогического 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вебинара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 xml:space="preserve"> для обмена диагностическими рубриками и лучшими практиками проектного оценивания.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 xml:space="preserve">Методическая модель успешно адаптируется под разные уровни математической подготовки учащихся и может быть реализована как в очном, так и в смешанном формате обучения. Ключевым условием устойчивого результата является системность: проект не должен оставаться «разовым событием», а должен стать регулярной формой учебной деятельности, встроенной в логику формирования предметных и 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 xml:space="preserve"> компетенций.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>ЗАКЛЮЧЕНИЕ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 xml:space="preserve">Проектно-исследовательская деятельность представляет собой эффективный педагогический инструмент развития функциональной математической грамотности учащихся 7–9 классов. Интеграция контекстных проектов в содержание курсов алгебры и геометрии, сопровождаемая многоуровневой диагностикой и формирующим оцениванием, обеспечивает устойчивый рост навыков математического моделирования, критической интерпретации данных и учебной 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 xml:space="preserve">. Результаты педагогического эксперимента подтверждают статистическую значимость предложенной методики и её соответствие требованиям обновлённого ФГОС ООО, что </w:t>
      </w:r>
      <w:r w:rsidRPr="00B34D0F">
        <w:rPr>
          <w:rFonts w:ascii="Times New Roman" w:hAnsi="Times New Roman" w:cs="Times New Roman"/>
          <w:sz w:val="28"/>
          <w:szCs w:val="28"/>
        </w:rPr>
        <w:lastRenderedPageBreak/>
        <w:t>делает её востребованной в практике аттестации педагогических работников на высшую категорию и тиражируемой в образовательных организациях различного типа.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 xml:space="preserve">1. Федеральный государственный образовательный стандарт основного общего </w:t>
      </w:r>
      <w:proofErr w:type="gramStart"/>
      <w:r w:rsidRPr="00B34D0F">
        <w:rPr>
          <w:rFonts w:ascii="Times New Roman" w:hAnsi="Times New Roman" w:cs="Times New Roman"/>
          <w:sz w:val="28"/>
          <w:szCs w:val="28"/>
        </w:rPr>
        <w:t>образования :</w:t>
      </w:r>
      <w:proofErr w:type="gramEnd"/>
      <w:r w:rsidRPr="00B34D0F">
        <w:rPr>
          <w:rFonts w:ascii="Times New Roman" w:hAnsi="Times New Roman" w:cs="Times New Roman"/>
          <w:sz w:val="28"/>
          <w:szCs w:val="28"/>
        </w:rPr>
        <w:t xml:space="preserve"> утв. приказом 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 xml:space="preserve"> России от 31.05.2021 № 287 (ред. от 15.06.2023). – Москва, 2023. – 112 с.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>2. Ковалёва Г. С., Краснов А. А. Функциональная математическая грамотность: структура, диагностика, пути формирования в школе // Педагогика. – 2022. – № 4. – С. 45–54.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Полат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 xml:space="preserve"> Е. С. Метод проектов на уроках математики: теория и практика. – </w:t>
      </w:r>
      <w:proofErr w:type="gramStart"/>
      <w:r w:rsidRPr="00B34D0F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B34D0F">
        <w:rPr>
          <w:rFonts w:ascii="Times New Roman" w:hAnsi="Times New Roman" w:cs="Times New Roman"/>
          <w:sz w:val="28"/>
          <w:szCs w:val="28"/>
        </w:rPr>
        <w:t xml:space="preserve"> Просвещение, 2021. – 189 с.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>4. Сергеев И. С. Практикум по проектной деятельности в школе. – Санкт-</w:t>
      </w:r>
      <w:proofErr w:type="gramStart"/>
      <w:r w:rsidRPr="00B34D0F">
        <w:rPr>
          <w:rFonts w:ascii="Times New Roman" w:hAnsi="Times New Roman" w:cs="Times New Roman"/>
          <w:sz w:val="28"/>
          <w:szCs w:val="28"/>
        </w:rPr>
        <w:t>Петербург :</w:t>
      </w:r>
      <w:proofErr w:type="gramEnd"/>
      <w:r w:rsidRPr="00B34D0F">
        <w:rPr>
          <w:rFonts w:ascii="Times New Roman" w:hAnsi="Times New Roman" w:cs="Times New Roman"/>
          <w:sz w:val="28"/>
          <w:szCs w:val="28"/>
        </w:rPr>
        <w:t xml:space="preserve"> Питер, 2020. – 208 с.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 xml:space="preserve">5. OECD. PISA 2022 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Mathematics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Framework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proofErr w:type="gramStart"/>
      <w:r w:rsidRPr="00B34D0F">
        <w:rPr>
          <w:rFonts w:ascii="Times New Roman" w:hAnsi="Times New Roman" w:cs="Times New Roman"/>
          <w:sz w:val="28"/>
          <w:szCs w:val="28"/>
        </w:rPr>
        <w:t>Paris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34D0F">
        <w:rPr>
          <w:rFonts w:ascii="Times New Roman" w:hAnsi="Times New Roman" w:cs="Times New Roman"/>
          <w:sz w:val="28"/>
          <w:szCs w:val="28"/>
        </w:rPr>
        <w:t xml:space="preserve"> OECD 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>, 2023. – 48 p. DOI: 10.1787/23987545.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 xml:space="preserve">6. Логинова О. Б., Яковлева Н. В. Диагностика 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 xml:space="preserve"> результатов в основной школе. – </w:t>
      </w:r>
      <w:proofErr w:type="gramStart"/>
      <w:r w:rsidRPr="00B34D0F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B34D0F">
        <w:rPr>
          <w:rFonts w:ascii="Times New Roman" w:hAnsi="Times New Roman" w:cs="Times New Roman"/>
          <w:sz w:val="28"/>
          <w:szCs w:val="28"/>
        </w:rPr>
        <w:t xml:space="preserve"> Академкнига, 2022. – 156 с.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 xml:space="preserve">7. ФИПИ. Демонстрационные варианты и спецификации ОГЭ по математике. – Москва, 2024. URL: </w:t>
      </w:r>
      <w:hyperlink r:id="rId4" w:tgtFrame="_blank" w:history="1">
        <w:r w:rsidRPr="00B34D0F">
          <w:rPr>
            <w:rStyle w:val="a3"/>
            <w:rFonts w:ascii="Times New Roman" w:hAnsi="Times New Roman" w:cs="Times New Roman"/>
            <w:sz w:val="28"/>
            <w:szCs w:val="28"/>
          </w:rPr>
          <w:t>https://fipi.ru</w:t>
        </w:r>
      </w:hyperlink>
      <w:r w:rsidRPr="00B34D0F">
        <w:rPr>
          <w:rFonts w:ascii="Times New Roman" w:hAnsi="Times New Roman" w:cs="Times New Roman"/>
          <w:sz w:val="28"/>
          <w:szCs w:val="28"/>
        </w:rPr>
        <w:t xml:space="preserve"> (дата обращения: 10.03.2025).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B34D0F">
        <w:rPr>
          <w:rFonts w:ascii="Times New Roman" w:hAnsi="Times New Roman" w:cs="Times New Roman"/>
          <w:sz w:val="28"/>
          <w:szCs w:val="28"/>
        </w:rPr>
        <w:t>Загашев</w:t>
      </w:r>
      <w:proofErr w:type="spellEnd"/>
      <w:r w:rsidRPr="00B34D0F">
        <w:rPr>
          <w:rFonts w:ascii="Times New Roman" w:hAnsi="Times New Roman" w:cs="Times New Roman"/>
          <w:sz w:val="28"/>
          <w:szCs w:val="28"/>
        </w:rPr>
        <w:t xml:space="preserve"> И. О., Заир-Бек С. И. Критическое мышление: технология развития. – Санкт-</w:t>
      </w:r>
      <w:proofErr w:type="gramStart"/>
      <w:r w:rsidRPr="00B34D0F">
        <w:rPr>
          <w:rFonts w:ascii="Times New Roman" w:hAnsi="Times New Roman" w:cs="Times New Roman"/>
          <w:sz w:val="28"/>
          <w:szCs w:val="28"/>
        </w:rPr>
        <w:t>Петербург :</w:t>
      </w:r>
      <w:proofErr w:type="gramEnd"/>
      <w:r w:rsidRPr="00B34D0F">
        <w:rPr>
          <w:rFonts w:ascii="Times New Roman" w:hAnsi="Times New Roman" w:cs="Times New Roman"/>
          <w:sz w:val="28"/>
          <w:szCs w:val="28"/>
        </w:rPr>
        <w:t xml:space="preserve"> Речь, 2021. – 224 с.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 xml:space="preserve">9. Хуторской А. В. Современная </w:t>
      </w:r>
      <w:proofErr w:type="gramStart"/>
      <w:r w:rsidRPr="00B34D0F">
        <w:rPr>
          <w:rFonts w:ascii="Times New Roman" w:hAnsi="Times New Roman" w:cs="Times New Roman"/>
          <w:sz w:val="28"/>
          <w:szCs w:val="28"/>
        </w:rPr>
        <w:t>дидактика :</w:t>
      </w:r>
      <w:proofErr w:type="gramEnd"/>
      <w:r w:rsidRPr="00B34D0F">
        <w:rPr>
          <w:rFonts w:ascii="Times New Roman" w:hAnsi="Times New Roman" w:cs="Times New Roman"/>
          <w:sz w:val="28"/>
          <w:szCs w:val="28"/>
        </w:rPr>
        <w:t xml:space="preserve"> учебник для вузов. – </w:t>
      </w:r>
      <w:proofErr w:type="gramStart"/>
      <w:r w:rsidRPr="00B34D0F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B34D0F">
        <w:rPr>
          <w:rFonts w:ascii="Times New Roman" w:hAnsi="Times New Roman" w:cs="Times New Roman"/>
          <w:sz w:val="28"/>
          <w:szCs w:val="28"/>
        </w:rPr>
        <w:t xml:space="preserve"> Высшая школа, 2020. – 543 с.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4D0F">
        <w:rPr>
          <w:rFonts w:ascii="Times New Roman" w:hAnsi="Times New Roman" w:cs="Times New Roman"/>
          <w:sz w:val="28"/>
          <w:szCs w:val="28"/>
        </w:rPr>
        <w:t>10. Готвальд И. В. Проектно-исследовательская деятельность как условие формирования функциональной грамотности учащихся // Математика в школе. – 2023. – № 6. – С. 12–19.</w:t>
      </w:r>
    </w:p>
    <w:p w:rsidR="00ED3E1F" w:rsidRPr="00B34D0F" w:rsidRDefault="00ED3E1F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6E39" w:rsidRPr="00B34D0F" w:rsidRDefault="00316E39" w:rsidP="00B34D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16E39" w:rsidRPr="00B34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7EC"/>
    <w:rsid w:val="00316E39"/>
    <w:rsid w:val="00363CA1"/>
    <w:rsid w:val="007F27EC"/>
    <w:rsid w:val="00B34D0F"/>
    <w:rsid w:val="00ED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303C1"/>
  <w15:chartTrackingRefBased/>
  <w15:docId w15:val="{9626CC34-13C7-49BA-B97D-942998484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3E1F"/>
    <w:rPr>
      <w:color w:val="0000FF"/>
      <w:u w:val="single"/>
    </w:rPr>
  </w:style>
  <w:style w:type="character" w:customStyle="1" w:styleId="wmi-callto">
    <w:name w:val="wmi-callto"/>
    <w:basedOn w:val="a0"/>
    <w:rsid w:val="00ED3E1F"/>
  </w:style>
  <w:style w:type="table" w:styleId="a4">
    <w:name w:val="Table Grid"/>
    <w:basedOn w:val="a1"/>
    <w:uiPriority w:val="39"/>
    <w:rsid w:val="00B3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0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5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2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9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4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3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4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7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5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4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4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ip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1783</Words>
  <Characters>10166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школы 7 ключей</dc:creator>
  <cp:keywords/>
  <dc:description/>
  <cp:lastModifiedBy>Учитель школы 7 ключей</cp:lastModifiedBy>
  <cp:revision>2</cp:revision>
  <dcterms:created xsi:type="dcterms:W3CDTF">2026-05-05T02:22:00Z</dcterms:created>
  <dcterms:modified xsi:type="dcterms:W3CDTF">2026-05-05T02:55:00Z</dcterms:modified>
</cp:coreProperties>
</file>