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2BA62" w14:textId="5A54C006" w:rsidR="00767DA4" w:rsidRPr="00767DA4" w:rsidRDefault="00D06D95" w:rsidP="00767DA4">
      <w:pPr>
        <w:widowControl w:val="0"/>
        <w:tabs>
          <w:tab w:val="center" w:pos="53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67DA4">
        <w:rPr>
          <w:rFonts w:ascii="Times New Roman" w:eastAsia="Calibri" w:hAnsi="Times New Roman" w:cs="Times New Roman"/>
          <w:sz w:val="22"/>
        </w:rPr>
        <w:t xml:space="preserve">     </w:t>
      </w:r>
      <w:r w:rsidR="00767DA4" w:rsidRPr="00767DA4">
        <w:rPr>
          <w:rFonts w:ascii="Times New Roman" w:hAnsi="Times New Roman" w:cs="Times New Roman"/>
          <w:color w:val="000000"/>
        </w:rPr>
        <w:t>ГОСУДАРСТВЕННОЕ ОБЛАСТНОЕ БЮДЖЕТНОЕ</w:t>
      </w:r>
    </w:p>
    <w:p w14:paraId="2BE52136" w14:textId="77777777" w:rsidR="00767DA4" w:rsidRPr="00767DA4" w:rsidRDefault="00767DA4" w:rsidP="00767DA4">
      <w:pPr>
        <w:widowControl w:val="0"/>
        <w:tabs>
          <w:tab w:val="center" w:pos="53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67DA4">
        <w:rPr>
          <w:rFonts w:ascii="Times New Roman" w:hAnsi="Times New Roman" w:cs="Times New Roman"/>
          <w:color w:val="000000"/>
        </w:rPr>
        <w:t>ПРОФЕССИОНАЛЬНОЕ ОБРАЗОВАТЕЛЬНОЕ УЧРЕЖДЕНИЕ</w:t>
      </w:r>
    </w:p>
    <w:p w14:paraId="1037E5C5" w14:textId="77777777" w:rsidR="00767DA4" w:rsidRPr="00767DA4" w:rsidRDefault="00767DA4" w:rsidP="00767DA4">
      <w:pPr>
        <w:widowControl w:val="0"/>
        <w:tabs>
          <w:tab w:val="center" w:pos="537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67DA4">
        <w:rPr>
          <w:rFonts w:ascii="Times New Roman" w:hAnsi="Times New Roman" w:cs="Times New Roman"/>
          <w:color w:val="000000"/>
        </w:rPr>
        <w:t>«ЛИПЕЦКИЙ ПОЛИТЕХНИЧЕСКИЙ ТЕХНИКУМ»</w:t>
      </w:r>
    </w:p>
    <w:p w14:paraId="4B765F2D" w14:textId="77777777" w:rsidR="00767DA4" w:rsidRPr="00767DA4" w:rsidRDefault="00767DA4" w:rsidP="00767DA4">
      <w:pPr>
        <w:spacing w:before="240" w:line="288" w:lineRule="auto"/>
        <w:jc w:val="center"/>
        <w:rPr>
          <w:rFonts w:ascii="Times New Roman" w:hAnsi="Times New Roman" w:cs="Times New Roman"/>
          <w:b/>
          <w:i/>
          <w:spacing w:val="20"/>
          <w:sz w:val="32"/>
          <w:szCs w:val="32"/>
        </w:rPr>
      </w:pPr>
      <w:r w:rsidRPr="00767DA4">
        <w:rPr>
          <w:rFonts w:ascii="Times New Roman" w:hAnsi="Times New Roman" w:cs="Times New Roman"/>
          <w:noProof/>
          <w:sz w:val="32"/>
          <w:szCs w:val="31"/>
        </w:rPr>
        <w:drawing>
          <wp:inline distT="0" distB="0" distL="0" distR="0" wp14:anchorId="58CE46A9" wp14:editId="7C799DB4">
            <wp:extent cx="2276475" cy="1704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E2C6C" w14:textId="77777777" w:rsidR="00767DA4" w:rsidRPr="00767DA4" w:rsidRDefault="00767DA4" w:rsidP="00767DA4">
      <w:pPr>
        <w:jc w:val="center"/>
        <w:rPr>
          <w:rFonts w:ascii="Times New Roman" w:hAnsi="Times New Roman" w:cs="Times New Roman"/>
        </w:rPr>
      </w:pPr>
    </w:p>
    <w:p w14:paraId="616AF45D" w14:textId="77777777" w:rsidR="00767DA4" w:rsidRPr="00767DA4" w:rsidRDefault="00767DA4" w:rsidP="00767DA4">
      <w:pPr>
        <w:jc w:val="center"/>
        <w:rPr>
          <w:rFonts w:ascii="Times New Roman" w:hAnsi="Times New Roman" w:cs="Times New Roman"/>
        </w:rPr>
      </w:pPr>
    </w:p>
    <w:p w14:paraId="5F2D786A" w14:textId="77777777" w:rsidR="00767DA4" w:rsidRPr="00767DA4" w:rsidRDefault="00767DA4" w:rsidP="00767DA4">
      <w:pPr>
        <w:jc w:val="center"/>
        <w:rPr>
          <w:rFonts w:ascii="Times New Roman" w:hAnsi="Times New Roman" w:cs="Times New Roman"/>
        </w:rPr>
      </w:pPr>
    </w:p>
    <w:p w14:paraId="2C56C346" w14:textId="0788AFD1" w:rsidR="00767DA4" w:rsidRDefault="008E6A2B" w:rsidP="00767DA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67DA4" w:rsidRPr="00B65D75">
        <w:rPr>
          <w:rFonts w:ascii="Times New Roman" w:eastAsia="Calibri" w:hAnsi="Times New Roman" w:cs="Times New Roman"/>
          <w:sz w:val="28"/>
          <w:szCs w:val="28"/>
        </w:rPr>
        <w:t>РОЕКТ</w:t>
      </w:r>
    </w:p>
    <w:p w14:paraId="178E249B" w14:textId="4F12D6B2" w:rsidR="00767DA4" w:rsidRPr="008E6A2B" w:rsidRDefault="00E819EA" w:rsidP="00767DA4">
      <w:pPr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bookmarkStart w:id="0" w:name="_GoBack"/>
      <w:bookmarkEnd w:id="0"/>
      <w:r w:rsidR="008E6A2B">
        <w:rPr>
          <w:rFonts w:ascii="Times New Roman" w:eastAsia="Calibri" w:hAnsi="Times New Roman" w:cs="Times New Roman"/>
          <w:sz w:val="28"/>
          <w:szCs w:val="28"/>
        </w:rPr>
        <w:t>а тему</w:t>
      </w:r>
      <w:r w:rsidR="008E6A2B" w:rsidRPr="00E819E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31F0F6C" w14:textId="20EDAE9F" w:rsidR="00767DA4" w:rsidRPr="00B65D75" w:rsidRDefault="003823CE" w:rsidP="00767DA4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Математика и</w:t>
      </w:r>
    </w:p>
    <w:p w14:paraId="199F7628" w14:textId="169F5CF9" w:rsidR="00767DA4" w:rsidRPr="00B65D75" w:rsidRDefault="0094259C" w:rsidP="00767DA4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вероятность случайных событий</w:t>
      </w:r>
    </w:p>
    <w:p w14:paraId="1584A0CB" w14:textId="77777777" w:rsidR="00767DA4" w:rsidRPr="00767DA4" w:rsidRDefault="00767DA4" w:rsidP="00767DA4">
      <w:pPr>
        <w:spacing w:before="120" w:after="120"/>
        <w:ind w:left="1560"/>
        <w:jc w:val="both"/>
        <w:rPr>
          <w:rFonts w:ascii="Times New Roman" w:eastAsia="Calibri" w:hAnsi="Times New Roman" w:cs="Times New Roman"/>
          <w:b/>
          <w:sz w:val="22"/>
        </w:rPr>
      </w:pPr>
    </w:p>
    <w:p w14:paraId="1C19516F" w14:textId="77777777" w:rsidR="00767DA4" w:rsidRPr="00767DA4" w:rsidRDefault="00767DA4" w:rsidP="00767DA4">
      <w:pPr>
        <w:spacing w:before="120" w:after="120"/>
        <w:ind w:left="1560"/>
        <w:jc w:val="both"/>
        <w:rPr>
          <w:rFonts w:ascii="Times New Roman" w:eastAsia="Calibri" w:hAnsi="Times New Roman" w:cs="Times New Roman"/>
          <w:sz w:val="22"/>
        </w:rPr>
      </w:pPr>
      <w:r w:rsidRPr="00767DA4">
        <w:rPr>
          <w:rFonts w:ascii="Times New Roman" w:eastAsia="Calibri" w:hAnsi="Times New Roman" w:cs="Times New Roman"/>
          <w:sz w:val="22"/>
        </w:rPr>
        <w:t xml:space="preserve">        </w:t>
      </w:r>
    </w:p>
    <w:p w14:paraId="1255BFF5" w14:textId="77777777" w:rsidR="00767DA4" w:rsidRPr="00767DA4" w:rsidRDefault="00767DA4" w:rsidP="00767DA4">
      <w:pPr>
        <w:spacing w:before="120" w:after="120"/>
        <w:ind w:left="1560"/>
        <w:jc w:val="both"/>
        <w:rPr>
          <w:rFonts w:ascii="Times New Roman" w:eastAsia="Calibri" w:hAnsi="Times New Roman" w:cs="Times New Roman"/>
          <w:sz w:val="22"/>
        </w:rPr>
      </w:pPr>
    </w:p>
    <w:p w14:paraId="7EB1C90E" w14:textId="77777777" w:rsidR="00767DA4" w:rsidRPr="00767DA4" w:rsidRDefault="00767DA4" w:rsidP="00767DA4">
      <w:pPr>
        <w:spacing w:before="120" w:after="120"/>
        <w:ind w:left="1560"/>
        <w:jc w:val="both"/>
        <w:rPr>
          <w:rFonts w:ascii="Times New Roman" w:eastAsia="Calibri" w:hAnsi="Times New Roman" w:cs="Times New Roman"/>
          <w:sz w:val="22"/>
        </w:rPr>
      </w:pPr>
    </w:p>
    <w:p w14:paraId="057B20FD" w14:textId="77777777" w:rsidR="00767DA4" w:rsidRPr="00767DA4" w:rsidRDefault="00767DA4" w:rsidP="00767DA4">
      <w:pPr>
        <w:spacing w:before="120" w:after="120"/>
        <w:jc w:val="both"/>
        <w:rPr>
          <w:rFonts w:ascii="Times New Roman" w:eastAsia="Calibri" w:hAnsi="Times New Roman" w:cs="Times New Roman"/>
          <w:sz w:val="22"/>
        </w:rPr>
      </w:pPr>
    </w:p>
    <w:p w14:paraId="5FAD49F9" w14:textId="77777777" w:rsidR="00767DA4" w:rsidRPr="00767DA4" w:rsidRDefault="00767DA4" w:rsidP="00767DA4">
      <w:pPr>
        <w:tabs>
          <w:tab w:val="left" w:pos="6521"/>
        </w:tabs>
        <w:spacing w:before="120" w:after="120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A4">
        <w:rPr>
          <w:rFonts w:ascii="Times New Roman" w:eastAsia="Times New Roman" w:hAnsi="Times New Roman" w:cs="Times New Roman"/>
          <w:sz w:val="28"/>
          <w:szCs w:val="28"/>
        </w:rPr>
        <w:t>Выполнил: студент гр.2020-12</w:t>
      </w:r>
    </w:p>
    <w:p w14:paraId="15FBBAEA" w14:textId="77777777" w:rsidR="00767DA4" w:rsidRPr="00767DA4" w:rsidRDefault="00767DA4" w:rsidP="00767DA4">
      <w:pPr>
        <w:tabs>
          <w:tab w:val="left" w:pos="6521"/>
        </w:tabs>
        <w:spacing w:before="120" w:after="120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A4">
        <w:rPr>
          <w:rFonts w:ascii="Times New Roman" w:eastAsia="Times New Roman" w:hAnsi="Times New Roman" w:cs="Times New Roman"/>
          <w:sz w:val="28"/>
          <w:szCs w:val="28"/>
        </w:rPr>
        <w:t>Чеботарёв Илья</w:t>
      </w:r>
    </w:p>
    <w:p w14:paraId="753E543C" w14:textId="77777777" w:rsidR="00767DA4" w:rsidRPr="00767DA4" w:rsidRDefault="00767DA4" w:rsidP="00767DA4">
      <w:pPr>
        <w:tabs>
          <w:tab w:val="left" w:pos="6521"/>
        </w:tabs>
        <w:spacing w:before="120" w:after="120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A4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Руководитель:  </w:t>
      </w:r>
    </w:p>
    <w:p w14:paraId="73326898" w14:textId="77777777" w:rsidR="00767DA4" w:rsidRPr="00767DA4" w:rsidRDefault="00767DA4" w:rsidP="00767DA4">
      <w:pPr>
        <w:tabs>
          <w:tab w:val="left" w:pos="6521"/>
        </w:tabs>
        <w:spacing w:before="120" w:after="120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A4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Преподаватель:  </w:t>
      </w:r>
      <w:proofErr w:type="spellStart"/>
      <w:r w:rsidRPr="00767DA4">
        <w:rPr>
          <w:rFonts w:ascii="Times New Roman" w:eastAsia="Times New Roman" w:hAnsi="Times New Roman" w:cs="Times New Roman"/>
          <w:sz w:val="28"/>
          <w:szCs w:val="28"/>
        </w:rPr>
        <w:t>Заварзина</w:t>
      </w:r>
      <w:proofErr w:type="spellEnd"/>
      <w:r w:rsidRPr="00767DA4">
        <w:rPr>
          <w:rFonts w:ascii="Times New Roman" w:eastAsia="Times New Roman" w:hAnsi="Times New Roman" w:cs="Times New Roman"/>
          <w:sz w:val="28"/>
          <w:szCs w:val="28"/>
        </w:rPr>
        <w:t xml:space="preserve"> В.Г</w:t>
      </w:r>
    </w:p>
    <w:p w14:paraId="6E71522C" w14:textId="77777777" w:rsidR="00767DA4" w:rsidRPr="00767DA4" w:rsidRDefault="00767DA4" w:rsidP="00767DA4">
      <w:pPr>
        <w:jc w:val="center"/>
        <w:rPr>
          <w:rFonts w:ascii="Times New Roman" w:hAnsi="Times New Roman" w:cs="Times New Roman"/>
        </w:rPr>
      </w:pPr>
    </w:p>
    <w:p w14:paraId="0C6A4FC2" w14:textId="5B308374" w:rsidR="00767DA4" w:rsidRDefault="00767DA4" w:rsidP="00767DA4">
      <w:pPr>
        <w:jc w:val="center"/>
        <w:rPr>
          <w:rFonts w:ascii="Times New Roman" w:hAnsi="Times New Roman" w:cs="Times New Roman"/>
        </w:rPr>
      </w:pPr>
    </w:p>
    <w:p w14:paraId="6F2FD54D" w14:textId="1AE25EAF" w:rsidR="00B65D75" w:rsidRDefault="00B65D75" w:rsidP="00767DA4">
      <w:pPr>
        <w:jc w:val="center"/>
        <w:rPr>
          <w:rFonts w:ascii="Times New Roman" w:hAnsi="Times New Roman" w:cs="Times New Roman"/>
        </w:rPr>
      </w:pPr>
    </w:p>
    <w:p w14:paraId="79571465" w14:textId="77777777" w:rsidR="00B65D75" w:rsidRPr="00767DA4" w:rsidRDefault="00B65D75" w:rsidP="00767DA4">
      <w:pPr>
        <w:jc w:val="center"/>
        <w:rPr>
          <w:rFonts w:ascii="Times New Roman" w:hAnsi="Times New Roman" w:cs="Times New Roman"/>
        </w:rPr>
      </w:pPr>
    </w:p>
    <w:p w14:paraId="25D3FED6" w14:textId="77777777" w:rsidR="00767DA4" w:rsidRPr="00767DA4" w:rsidRDefault="00767DA4" w:rsidP="00767DA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C8F396" w14:textId="1C304155" w:rsidR="009119E6" w:rsidRDefault="00767DA4" w:rsidP="00B65D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7DA4">
        <w:rPr>
          <w:rFonts w:ascii="Times New Roman" w:hAnsi="Times New Roman" w:cs="Times New Roman"/>
          <w:sz w:val="28"/>
          <w:szCs w:val="28"/>
        </w:rPr>
        <w:t>Липецк 2021 г.</w:t>
      </w:r>
    </w:p>
    <w:p w14:paraId="0CC41201" w14:textId="77777777" w:rsidR="008E6A2B" w:rsidRDefault="008E6A2B" w:rsidP="00B65D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F359B9" w14:textId="77777777" w:rsidR="008E6A2B" w:rsidRDefault="008E6A2B" w:rsidP="00B65D75">
      <w:pPr>
        <w:spacing w:line="360" w:lineRule="auto"/>
        <w:jc w:val="center"/>
        <w:rPr>
          <w:rFonts w:ascii="Calibri" w:eastAsia="Calibri" w:hAnsi="Calibri" w:cs="Calibri"/>
          <w:szCs w:val="21"/>
        </w:rPr>
      </w:pPr>
    </w:p>
    <w:p w14:paraId="2E38525B" w14:textId="77777777" w:rsidR="009119E6" w:rsidRPr="00810379" w:rsidRDefault="00D06D95">
      <w:pPr>
        <w:spacing w:before="120" w:after="120"/>
        <w:ind w:left="71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0379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Содержание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5"/>
        <w:gridCol w:w="495"/>
      </w:tblGrid>
      <w:tr w:rsidR="009119E6" w14:paraId="1063BC4E" w14:textId="77777777" w:rsidTr="002E1B15">
        <w:tc>
          <w:tcPr>
            <w:tcW w:w="8865" w:type="dxa"/>
          </w:tcPr>
          <w:p w14:paraId="64AAB056" w14:textId="77777777" w:rsidR="009119E6" w:rsidRDefault="00D06D9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495" w:type="dxa"/>
          </w:tcPr>
          <w:p w14:paraId="649841BE" w14:textId="47D1FC69" w:rsidR="009119E6" w:rsidRPr="00C70A30" w:rsidRDefault="00C70A3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3</w:t>
            </w:r>
          </w:p>
        </w:tc>
      </w:tr>
      <w:tr w:rsidR="00C70A30" w14:paraId="2FD22EAD" w14:textId="77777777" w:rsidTr="002E1B15">
        <w:trPr>
          <w:trHeight w:val="300"/>
        </w:trPr>
        <w:tc>
          <w:tcPr>
            <w:tcW w:w="8865" w:type="dxa"/>
          </w:tcPr>
          <w:p w14:paraId="52F985D3" w14:textId="02609C17" w:rsidR="00C70A30" w:rsidRPr="6C5BC902" w:rsidRDefault="00C70A3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Феномен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Уилла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Роджерса</w:t>
            </w:r>
            <w:proofErr w:type="spellEnd"/>
          </w:p>
        </w:tc>
        <w:tc>
          <w:tcPr>
            <w:tcW w:w="495" w:type="dxa"/>
          </w:tcPr>
          <w:p w14:paraId="498FE1B1" w14:textId="723EA624" w:rsidR="00C70A30" w:rsidRDefault="009E454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03293D">
              <w:rPr>
                <w:rFonts w:ascii="Calibri" w:eastAsia="Calibri" w:hAnsi="Calibri" w:cs="Calibri"/>
                <w:sz w:val="22"/>
              </w:rPr>
              <w:t>3</w:t>
            </w:r>
          </w:p>
        </w:tc>
      </w:tr>
      <w:tr w:rsidR="00C70A30" w14:paraId="3FB0F44F" w14:textId="77777777" w:rsidTr="002E1B15">
        <w:trPr>
          <w:trHeight w:val="300"/>
        </w:trPr>
        <w:tc>
          <w:tcPr>
            <w:tcW w:w="8865" w:type="dxa"/>
          </w:tcPr>
          <w:p w14:paraId="294C7EB3" w14:textId="716F570D" w:rsidR="00C70A30" w:rsidRDefault="00C70A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C5BC9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Числовые примеры</w:t>
            </w:r>
          </w:p>
        </w:tc>
        <w:tc>
          <w:tcPr>
            <w:tcW w:w="495" w:type="dxa"/>
          </w:tcPr>
          <w:p w14:paraId="76A554BE" w14:textId="68789502" w:rsidR="00C70A30" w:rsidRDefault="009E454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03293D">
              <w:rPr>
                <w:rFonts w:ascii="Calibri" w:eastAsia="Calibri" w:hAnsi="Calibri" w:cs="Calibri"/>
                <w:sz w:val="22"/>
              </w:rPr>
              <w:t>4</w:t>
            </w:r>
          </w:p>
        </w:tc>
      </w:tr>
      <w:tr w:rsidR="00C70A30" w14:paraId="01825A22" w14:textId="77777777" w:rsidTr="002E1B15">
        <w:trPr>
          <w:trHeight w:val="300"/>
        </w:trPr>
        <w:tc>
          <w:tcPr>
            <w:tcW w:w="8865" w:type="dxa"/>
          </w:tcPr>
          <w:p w14:paraId="40CC359B" w14:textId="576B707A" w:rsidR="00C70A30" w:rsidRDefault="00C70A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C5BC9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Изменение состояния</w:t>
            </w:r>
          </w:p>
        </w:tc>
        <w:tc>
          <w:tcPr>
            <w:tcW w:w="495" w:type="dxa"/>
          </w:tcPr>
          <w:p w14:paraId="75315B24" w14:textId="74F95726" w:rsidR="00C70A30" w:rsidRDefault="009E454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03293D">
              <w:rPr>
                <w:rFonts w:ascii="Calibri" w:eastAsia="Calibri" w:hAnsi="Calibri" w:cs="Calibri"/>
                <w:sz w:val="22"/>
              </w:rPr>
              <w:t>5</w:t>
            </w:r>
          </w:p>
        </w:tc>
      </w:tr>
      <w:tr w:rsidR="00C70A30" w14:paraId="5714FA02" w14:textId="77777777" w:rsidTr="002E1B15">
        <w:trPr>
          <w:trHeight w:val="300"/>
        </w:trPr>
        <w:tc>
          <w:tcPr>
            <w:tcW w:w="8865" w:type="dxa"/>
          </w:tcPr>
          <w:p w14:paraId="5D6D4985" w14:textId="4FC6E1BE" w:rsidR="00C70A30" w:rsidRDefault="00C70A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Парадокс Монти Холла</w:t>
            </w:r>
          </w:p>
        </w:tc>
        <w:tc>
          <w:tcPr>
            <w:tcW w:w="495" w:type="dxa"/>
          </w:tcPr>
          <w:p w14:paraId="44AA5F40" w14:textId="1C913C73" w:rsidR="00C70A30" w:rsidRDefault="009E454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="0003293D">
              <w:rPr>
                <w:rFonts w:ascii="Calibri" w:eastAsia="Calibri" w:hAnsi="Calibri" w:cs="Calibri"/>
                <w:sz w:val="22"/>
              </w:rPr>
              <w:t>6</w:t>
            </w:r>
          </w:p>
        </w:tc>
      </w:tr>
      <w:tr w:rsidR="00C70A30" w14:paraId="753377E7" w14:textId="77777777" w:rsidTr="002E1B15">
        <w:trPr>
          <w:trHeight w:val="300"/>
        </w:trPr>
        <w:tc>
          <w:tcPr>
            <w:tcW w:w="8865" w:type="dxa"/>
          </w:tcPr>
          <w:p w14:paraId="2FC9B812" w14:textId="1BCF25AB" w:rsidR="00C70A30" w:rsidRDefault="00C70A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Бенфорда</w:t>
            </w:r>
            <w:proofErr w:type="spellEnd"/>
          </w:p>
        </w:tc>
        <w:tc>
          <w:tcPr>
            <w:tcW w:w="495" w:type="dxa"/>
          </w:tcPr>
          <w:p w14:paraId="68A74CA0" w14:textId="4669BAE4" w:rsidR="00C70A30" w:rsidRDefault="0003293D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11</w:t>
            </w:r>
          </w:p>
        </w:tc>
      </w:tr>
      <w:tr w:rsidR="00C70A30" w14:paraId="42E8ECFB" w14:textId="77777777" w:rsidTr="002E1B15">
        <w:trPr>
          <w:trHeight w:val="300"/>
        </w:trPr>
        <w:tc>
          <w:tcPr>
            <w:tcW w:w="8865" w:type="dxa"/>
          </w:tcPr>
          <w:p w14:paraId="744F703D" w14:textId="74E4DD52" w:rsidR="00C70A30" w:rsidRDefault="00C70A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0C2D5C7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495" w:type="dxa"/>
          </w:tcPr>
          <w:p w14:paraId="2691D018" w14:textId="295BB089" w:rsidR="00C70A30" w:rsidRDefault="0003293D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18</w:t>
            </w:r>
          </w:p>
        </w:tc>
      </w:tr>
      <w:tr w:rsidR="00C70A30" w14:paraId="74617C39" w14:textId="77777777" w:rsidTr="002E1B15">
        <w:trPr>
          <w:trHeight w:val="300"/>
        </w:trPr>
        <w:tc>
          <w:tcPr>
            <w:tcW w:w="8865" w:type="dxa"/>
          </w:tcPr>
          <w:p w14:paraId="48BCC612" w14:textId="0B0B8894" w:rsidR="00C70A30" w:rsidRDefault="00C70A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495" w:type="dxa"/>
          </w:tcPr>
          <w:p w14:paraId="0D07840C" w14:textId="43D8556C" w:rsidR="00C70A30" w:rsidRDefault="0003293D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19</w:t>
            </w:r>
          </w:p>
        </w:tc>
      </w:tr>
    </w:tbl>
    <w:p w14:paraId="54835DEC" w14:textId="77777777" w:rsidR="00C70A30" w:rsidRDefault="00C70A30" w:rsidP="003F429A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CE420C6" w14:textId="625691C6" w:rsidR="009119E6" w:rsidRPr="003F429A" w:rsidRDefault="00C70A30" w:rsidP="003F429A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br w:type="page"/>
      </w:r>
      <w:r w:rsidR="00D06D95" w:rsidRPr="003F429A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Введение</w:t>
      </w:r>
    </w:p>
    <w:p w14:paraId="3DCDBFE9" w14:textId="7F8389DA" w:rsidR="7B45F53A" w:rsidRDefault="1E20EB35" w:rsidP="00C70A30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Cs w:val="21"/>
        </w:rPr>
      </w:pPr>
      <w:r w:rsidRPr="1E20EB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1E20E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изучить данную тему, а именно, узнать что такое парадоксы.</w:t>
      </w:r>
    </w:p>
    <w:p w14:paraId="498E7D55" w14:textId="024954DA" w:rsidR="1E20EB35" w:rsidRDefault="1E20EB35" w:rsidP="00C70A30">
      <w:pPr>
        <w:ind w:left="709"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1E20EB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14:paraId="12BF595F" w14:textId="5C39234F" w:rsidR="1E20EB35" w:rsidRDefault="60C2D5C7" w:rsidP="00C70A30">
      <w:pPr>
        <w:pStyle w:val="a5"/>
        <w:numPr>
          <w:ilvl w:val="0"/>
          <w:numId w:val="2"/>
        </w:numPr>
        <w:ind w:left="349" w:firstLine="720"/>
        <w:jc w:val="both"/>
        <w:rPr>
          <w:color w:val="000000" w:themeColor="text1"/>
          <w:sz w:val="28"/>
          <w:szCs w:val="28"/>
        </w:rPr>
      </w:pPr>
      <w:r w:rsidRPr="60C2D5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классифицировать математические неожиданности;</w:t>
      </w:r>
    </w:p>
    <w:p w14:paraId="07BDB077" w14:textId="405E2FA1" w:rsidR="1E20EB35" w:rsidRDefault="1E20EB35" w:rsidP="00C70A30">
      <w:pPr>
        <w:pStyle w:val="a5"/>
        <w:numPr>
          <w:ilvl w:val="0"/>
          <w:numId w:val="2"/>
        </w:numPr>
        <w:ind w:left="349" w:firstLine="720"/>
        <w:jc w:val="both"/>
        <w:rPr>
          <w:color w:val="000000" w:themeColor="text1"/>
          <w:sz w:val="28"/>
          <w:szCs w:val="28"/>
        </w:rPr>
      </w:pPr>
      <w:r w:rsidRPr="1E20E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научиться находить ошибки в готовых решениях математических задач;</w:t>
      </w:r>
    </w:p>
    <w:p w14:paraId="7D102649" w14:textId="53C06BAF" w:rsidR="1E20EB35" w:rsidRDefault="1E20EB35" w:rsidP="00C70A30">
      <w:pPr>
        <w:pStyle w:val="a5"/>
        <w:numPr>
          <w:ilvl w:val="0"/>
          <w:numId w:val="2"/>
        </w:numPr>
        <w:ind w:left="349" w:firstLine="720"/>
        <w:jc w:val="both"/>
        <w:rPr>
          <w:color w:val="000000" w:themeColor="text1"/>
          <w:sz w:val="28"/>
          <w:szCs w:val="28"/>
        </w:rPr>
      </w:pPr>
      <w:r w:rsidRPr="1E20E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определить практическую значимость исследования</w:t>
      </w:r>
    </w:p>
    <w:p w14:paraId="01C0C451" w14:textId="604F2BB5" w:rsidR="1E20EB35" w:rsidRDefault="1E20EB35" w:rsidP="00C70A3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szCs w:val="21"/>
        </w:rPr>
      </w:pPr>
    </w:p>
    <w:p w14:paraId="7A7FDED5" w14:textId="20D6FDF2" w:rsidR="009119E6" w:rsidRDefault="00BB691D" w:rsidP="00C70A3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этой работе</w:t>
      </w:r>
      <w:r w:rsidR="00D06D95" w:rsidRPr="00BB691D">
        <w:rPr>
          <w:rFonts w:ascii="Times New Roman" w:eastAsia="Times New Roman" w:hAnsi="Times New Roman" w:cs="Times New Roman"/>
          <w:sz w:val="28"/>
          <w:szCs w:val="28"/>
        </w:rPr>
        <w:t xml:space="preserve"> поговорим не о физике и о космосе, а в большей</w:t>
      </w:r>
      <w:r w:rsidR="00D06D95">
        <w:rPr>
          <w:rFonts w:ascii="Times New Roman" w:eastAsia="Times New Roman" w:hAnsi="Times New Roman" w:cs="Times New Roman"/>
          <w:sz w:val="28"/>
          <w:szCs w:val="28"/>
        </w:rPr>
        <w:t xml:space="preserve"> степени о математике. Но тема все равно интересная и не тривиальная. Все мы со школьной скамьи знаем, что </w:t>
      </w:r>
      <w:proofErr w:type="gramStart"/>
      <w:r w:rsidR="00D06D95">
        <w:rPr>
          <w:rFonts w:ascii="Times New Roman" w:eastAsia="Times New Roman" w:hAnsi="Times New Roman" w:cs="Times New Roman"/>
          <w:sz w:val="28"/>
          <w:szCs w:val="28"/>
        </w:rPr>
        <w:t>ноль</w:t>
      </w:r>
      <w:proofErr w:type="gramEnd"/>
      <w:r w:rsidR="00D06D95">
        <w:rPr>
          <w:rFonts w:ascii="Times New Roman" w:eastAsia="Times New Roman" w:hAnsi="Times New Roman" w:cs="Times New Roman"/>
          <w:sz w:val="28"/>
          <w:szCs w:val="28"/>
        </w:rPr>
        <w:t xml:space="preserve"> возведенный в нулевую степень равен единице. Но почему так? Давайте разбираться вместе!</w:t>
      </w:r>
    </w:p>
    <w:p w14:paraId="186358E7" w14:textId="1613A9C5" w:rsidR="009119E6" w:rsidRDefault="000D3188" w:rsidP="7B45F53A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object w:dxaOrig="1448" w:dyaOrig="703" w14:anchorId="4557C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20.05pt" o:ole="">
            <v:imagedata r:id="rId10" o:title=""/>
          </v:shape>
          <o:OLEObject Type="Embed" ProgID="StaticMetafile" ShapeID="_x0000_i1025" DrawAspect="Content" ObjectID="_1696789541" r:id="rId11"/>
        </w:object>
      </w:r>
    </w:p>
    <w:p w14:paraId="43BDD871" w14:textId="77777777" w:rsidR="009119E6" w:rsidRDefault="00D06D95" w:rsidP="7B45F53A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Вообще-то говоря то, что ноль в нулевой степени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равен единице на первый взгляд противоречит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определению степени. Что значит число X в степени Y? Это означает что число X умножено само на себя Y раз.</w:t>
      </w:r>
    </w:p>
    <w:p w14:paraId="2CF95C82" w14:textId="77777777" w:rsidR="009119E6" w:rsidRDefault="00D06D95" w:rsidP="7B45F53A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Т.е. X³ = X × X × X. Как известно при умножении на ноль всегда получается ноль. Т.е. ноль в любой степени больше нуля также будет равен нулю.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0⁵ = 0×0×0×0×0 = 0. Откуда же тогда берется единица?</w:t>
      </w:r>
    </w:p>
    <w:p w14:paraId="5C461042" w14:textId="77777777" w:rsidR="009119E6" w:rsidRDefault="00D06D95" w:rsidP="6C5BC902">
      <w:pPr>
        <w:spacing w:before="100" w:after="100" w:line="36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Феномен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Уилла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Роджерса</w:t>
      </w:r>
      <w:proofErr w:type="spellEnd"/>
    </w:p>
    <w:p w14:paraId="2D9E351D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Феномен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Уилла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Роджерса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— кажущийся парадокс, заключающийся в том, что перемещение (численного) элемента из одного множества в другое может увеличить среднее значение обоих множеств.</w:t>
      </w:r>
    </w:p>
    <w:p w14:paraId="55D3F3A5" w14:textId="77777777" w:rsidR="009119E6" w:rsidRDefault="00D06D95" w:rsidP="2019B7F0">
      <w:pPr>
        <w:spacing w:line="360" w:lineRule="auto"/>
        <w:ind w:left="709" w:firstLine="720"/>
        <w:jc w:val="both"/>
        <w:rPr>
          <w:rFonts w:ascii="Arial" w:eastAsia="Arial" w:hAnsi="Arial" w:cs="Arial"/>
          <w:b/>
          <w:bCs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основывается на цитате, приписываемой американскому комику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Уиллу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Роджерсу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 </w:t>
      </w:r>
      <w:r w:rsidRPr="2019B7F0">
        <w:rPr>
          <w:rFonts w:ascii="Times New Roman" w:eastAsia="Times New Roman" w:hAnsi="Times New Roman" w:cs="Times New Roman"/>
          <w:i/>
          <w:iCs/>
          <w:sz w:val="28"/>
          <w:szCs w:val="28"/>
        </w:rPr>
        <w:t>«Когда </w:t>
      </w:r>
      <w:proofErr w:type="spellStart"/>
      <w:r w:rsidRPr="2019B7F0">
        <w:rPr>
          <w:rFonts w:ascii="Times New Roman" w:eastAsia="Times New Roman" w:hAnsi="Times New Roman" w:cs="Times New Roman"/>
          <w:i/>
          <w:iCs/>
          <w:sz w:val="28"/>
          <w:szCs w:val="28"/>
        </w:rPr>
        <w:t>оки</w:t>
      </w:r>
      <w:proofErr w:type="spellEnd"/>
      <w:r w:rsidRPr="2019B7F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покинули </w:t>
      </w:r>
      <w:r w:rsidRPr="2019B7F0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Оклахому и переехали в Калифорнию, то повысили средний интеллект обоих штатов»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ECD14C" w14:textId="77777777" w:rsidR="009119E6" w:rsidRDefault="00D06D95" w:rsidP="2019B7F0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Числовые примеры</w:t>
      </w:r>
    </w:p>
    <w:p w14:paraId="33E09A51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Рассмотрим два множества,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и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14:paraId="32805211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= {1, 2, 3, 4},</w:t>
      </w:r>
    </w:p>
    <w:p w14:paraId="02D222D5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= {5, 6, 7, 8, 9}.</w:t>
      </w:r>
    </w:p>
    <w:p w14:paraId="4EC04045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Арифметическое среднее элементов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равно 2,5, элементов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— 7.</w:t>
      </w:r>
    </w:p>
    <w:p w14:paraId="0E011A92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Однако, если число 5 переместить из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в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получив</w:t>
      </w:r>
    </w:p>
    <w:p w14:paraId="12A63175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= {1, 2, 3, 4, 5},</w:t>
      </w:r>
    </w:p>
    <w:p w14:paraId="7DB49BBE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= {6, 7, 8, 9},</w:t>
      </w:r>
    </w:p>
    <w:p w14:paraId="4380F47C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то среднее значение элементов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повысится до 3, а среднее значение элементов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— до 7,5.</w:t>
      </w:r>
    </w:p>
    <w:p w14:paraId="1024FD84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Рассмотрим более очевидный пример:</w:t>
      </w:r>
    </w:p>
    <w:p w14:paraId="3C725FFB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= {1, 2},</w:t>
      </w:r>
    </w:p>
    <w:p w14:paraId="5B2D2C9E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= {99, 10 000, 20 000},</w:t>
      </w:r>
    </w:p>
    <w:p w14:paraId="5DFD55AB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со средними значениями 1,5 и 10 033 соответственно. Перемещение числа 99 из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в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поднимет их до 34 и 15 000. 99 на порядки больше 1 и 2 и, соответственно, гораздо меньше 10 000 и 20 000. Поэтому, увеличение средних значений обоих множеств из-за перемещения 99 не должно быть неожиданностью.</w:t>
      </w:r>
    </w:p>
    <w:p w14:paraId="4E2FF141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Для увеличения средних значений, перемещаемый элемент не обязательно должен быть минимальным во втором множестве (и стать максимальным в первом). Например:</w:t>
      </w:r>
    </w:p>
    <w:p w14:paraId="090F9EF0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= {1, 3, 5, 7, 9, 11, 13},</w:t>
      </w:r>
    </w:p>
    <w:p w14:paraId="5A40501D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= {6, 8, 10, 12, 14, 16, 18}.</w:t>
      </w:r>
    </w:p>
    <w:p w14:paraId="5750E8A0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При перемещении числа 10 из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в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поднимает среднее арифметическое элементов множества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с 7 до 7,375, множества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с 12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~12,333. Эффект имеет место, хотя и не столь заметен.</w:t>
      </w:r>
    </w:p>
    <w:p w14:paraId="12F71380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Увеличение происходит при выполнении обоих условий:</w:t>
      </w:r>
    </w:p>
    <w:p w14:paraId="4603B299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Перемещаемый элемент меньше среднего значения элементов своего множества. Таким образом, его удаление увеличит это значение.</w:t>
      </w:r>
    </w:p>
    <w:p w14:paraId="61ABF0E0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Перемещаемый элемент больше среднего значения множества, в которое его перемещают. Отсюда следует, что его добавление повысит это значение.</w:t>
      </w:r>
    </w:p>
    <w:p w14:paraId="5EF217DA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частности, феномен может иметь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место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только если среднее значение множества, в которое перемещают, меньше чем у того, из которого перемещают, хотя этого и недостаточно.</w:t>
      </w:r>
    </w:p>
    <w:p w14:paraId="33B94F3A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Парадокс является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кажущимся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потому что многие люди удивлены тем, что такое может происходить. Знакомство с этими примерами должно сделать явление очевидным.</w:t>
      </w:r>
    </w:p>
    <w:p w14:paraId="7EB82295" w14:textId="77777777" w:rsidR="009119E6" w:rsidRDefault="00D06D95" w:rsidP="2019B7F0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Изменение состояния</w:t>
      </w:r>
    </w:p>
    <w:p w14:paraId="1B6053BA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Реальный пример феномена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Уилла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Роджерса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заключается в медицинском понятии «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изменение состояния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». Суть его состоит в том, что улучшение методов диагностики какого-либо заболевания приводит к изменению состояния части людей со «здоровый» на «больной».</w:t>
      </w:r>
    </w:p>
    <w:p w14:paraId="1E5418D8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b/>
          <w:bCs/>
          <w:sz w:val="43"/>
          <w:szCs w:val="43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Поскольку эти люди на самом деле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нездоровы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удаление их из множества здоровых повышает средний показатель здоровья этой группы. С другой стороны, эти люди обычно менее больны чем те, кто уже находится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множестве больных, так что добавление их в это множество повышает и его средний показатель здоровья.</w:t>
      </w:r>
    </w:p>
    <w:p w14:paraId="6FAA09D4" w14:textId="77777777" w:rsidR="009119E6" w:rsidRDefault="00D06D95" w:rsidP="6C5BC902">
      <w:pPr>
        <w:spacing w:before="100" w:after="100" w:line="36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Парадокс Монти Холла</w:t>
      </w:r>
    </w:p>
    <w:p w14:paraId="1936C8D1" w14:textId="77777777" w:rsidR="009119E6" w:rsidRDefault="00D06D95" w:rsidP="2019B7F0">
      <w:pPr>
        <w:spacing w:line="360" w:lineRule="auto"/>
        <w:ind w:left="709" w:firstLine="720"/>
        <w:jc w:val="both"/>
        <w:rPr>
          <w:rFonts w:ascii="Arial" w:eastAsia="Arial" w:hAnsi="Arial" w:cs="Arial"/>
          <w:b/>
          <w:bCs/>
          <w:color w:val="222222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Парадокс Монти Холла — одна из известных </w:t>
      </w:r>
      <w:r>
        <w:rPr>
          <w:rFonts w:ascii="Times New Roman" w:eastAsia="Times New Roman" w:hAnsi="Times New Roman" w:cs="Times New Roman"/>
          <w:sz w:val="28"/>
          <w:szCs w:val="28"/>
        </w:rPr>
        <w:t>задач теории вероятностей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решение которой, на первый взгляд, противоречит здравому смыслу.</w:t>
      </w:r>
    </w:p>
    <w:p w14:paraId="3AA8A2D3" w14:textId="77777777" w:rsidR="009119E6" w:rsidRDefault="00D06D95" w:rsidP="6C5BC902">
      <w:pPr>
        <w:spacing w:before="100" w:after="10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Формулировк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proofErr w:type="spellEnd"/>
      <w:proofErr w:type="gramEnd"/>
    </w:p>
    <w:p w14:paraId="02DF5D57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Задача формулируется как описание игры, основанной на американской телеигре 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Let’s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и названа в честь ведущего этой передачи.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Наиболее распространённая формулировка этой задачи, опубликованная в 1990 году в журнале </w:t>
      </w:r>
      <w:proofErr w:type="spellStart"/>
      <w:r w:rsidRPr="2019B7F0">
        <w:rPr>
          <w:rFonts w:ascii="Times New Roman" w:eastAsia="Times New Roman" w:hAnsi="Times New Roman" w:cs="Times New Roman"/>
          <w:i/>
          <w:iCs/>
          <w:sz w:val="28"/>
          <w:szCs w:val="28"/>
        </w:rPr>
        <w:t>Parade</w:t>
      </w:r>
      <w:proofErr w:type="spellEnd"/>
      <w:r w:rsidRPr="2019B7F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2019B7F0">
        <w:rPr>
          <w:rFonts w:ascii="Times New Roman" w:eastAsia="Times New Roman" w:hAnsi="Times New Roman" w:cs="Times New Roman"/>
          <w:i/>
          <w:iCs/>
          <w:sz w:val="28"/>
          <w:szCs w:val="28"/>
        </w:rPr>
        <w:t>Magazine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звучит следующим образом:</w:t>
      </w:r>
    </w:p>
    <w:p w14:paraId="51D0E176" w14:textId="77777777" w:rsidR="009119E6" w:rsidRDefault="00D06D95" w:rsidP="008E6A2B">
      <w:pPr>
        <w:numPr>
          <w:ilvl w:val="0"/>
          <w:numId w:val="3"/>
        </w:num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Представьте, что вы стали участником игры, в которой вам нужно выбрать одну из трёх дверей. За одной из дверей находится автомобиль, за двумя другими дверями — козы. Вы выбираете одну из дверей, например, номер 1, после этого ведущий, который знает, где находится автомобиль, а где — козы, открывает одну из оставшихся дверей, например, номер 3,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которой находится коза. После этого он спрашивает вас — не желаете ли вы изменить свой выбор и выбрать дверь номер 2? Увеличатся ли ваши шансы выиграть автомобиль, если вы примете предложение ведущего и измените свой выбор?</w:t>
      </w:r>
    </w:p>
    <w:p w14:paraId="36600E67" w14:textId="77777777" w:rsidR="009119E6" w:rsidRDefault="00D06D95" w:rsidP="008E6A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После публикации немедленно выяснилось, что задача сформулирована некорректно: не все условия оговорены. Например, ведущий может придерживаться стратегии «адский Монти»: предлагать сменить выбор тогда и только тогда, когда игрок первым ходом выбрал автомобиль. Очевидно, что смена первоначального выбора будет вести в такой ситуации к гарантированному проигрышу (см. ниже).</w:t>
      </w:r>
    </w:p>
    <w:p w14:paraId="7C8FC40D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Наиболее популярной является задача с дополнительным условием — участнику игры заранее известны следующие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правила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:а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втомобиль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равновероятно размещён за любой из трёх дверей;</w:t>
      </w:r>
    </w:p>
    <w:p w14:paraId="0FF6B299" w14:textId="77777777" w:rsidR="009119E6" w:rsidRDefault="00D06D95" w:rsidP="2019B7F0">
      <w:pPr>
        <w:spacing w:line="360" w:lineRule="auto"/>
        <w:ind w:left="709" w:firstLine="720"/>
        <w:jc w:val="both"/>
        <w:rPr>
          <w:rFonts w:ascii="Arial" w:eastAsia="Arial" w:hAnsi="Arial" w:cs="Arial"/>
          <w:b/>
          <w:bCs/>
          <w:color w:val="222222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ведущий в любом случае обязан открыть дверь с козой (но не ту, которую выбрал игрок) и предложить игроку изменить выбор; если у ведущего есть выбор, какую из двух дверей открыть, он выбирает любую из них с одинаковой вероятностью.</w:t>
      </w:r>
    </w:p>
    <w:p w14:paraId="67D15D23" w14:textId="77777777" w:rsidR="009119E6" w:rsidRDefault="00D06D95" w:rsidP="6C5BC902">
      <w:pPr>
        <w:spacing w:before="100" w:after="10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Разбор</w:t>
      </w:r>
    </w:p>
    <w:tbl>
      <w:tblPr>
        <w:tblW w:w="9513" w:type="dxa"/>
        <w:tblLook w:val="04A0" w:firstRow="1" w:lastRow="0" w:firstColumn="1" w:lastColumn="0" w:noHBand="0" w:noVBand="1"/>
      </w:tblPr>
      <w:tblGrid>
        <w:gridCol w:w="1511"/>
        <w:gridCol w:w="1493"/>
        <w:gridCol w:w="1513"/>
        <w:gridCol w:w="2483"/>
        <w:gridCol w:w="2513"/>
      </w:tblGrid>
      <w:tr w:rsidR="009119E6" w14:paraId="0F235B04" w14:textId="77777777" w:rsidTr="2019B7F0">
        <w:trPr>
          <w:trHeight w:val="1860"/>
        </w:trPr>
        <w:tc>
          <w:tcPr>
            <w:tcW w:w="151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5B56C639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Дверь 1</w:t>
            </w:r>
          </w:p>
        </w:tc>
        <w:tc>
          <w:tcPr>
            <w:tcW w:w="147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10DCDE3F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Дверь 2</w:t>
            </w:r>
          </w:p>
        </w:tc>
        <w:tc>
          <w:tcPr>
            <w:tcW w:w="1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6F61AFB3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Дверь 3</w:t>
            </w:r>
          </w:p>
        </w:tc>
        <w:tc>
          <w:tcPr>
            <w:tcW w:w="249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01B4BCF7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Результат, если менять выбор</w:t>
            </w:r>
          </w:p>
        </w:tc>
        <w:tc>
          <w:tcPr>
            <w:tcW w:w="25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64B89C53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Результат, если не менять выбор</w:t>
            </w:r>
          </w:p>
        </w:tc>
      </w:tr>
      <w:tr w:rsidR="009119E6" w14:paraId="0E3A2CD8" w14:textId="77777777" w:rsidTr="2019B7F0">
        <w:trPr>
          <w:trHeight w:val="300"/>
        </w:trPr>
        <w:tc>
          <w:tcPr>
            <w:tcW w:w="151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69302070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</w:t>
            </w:r>
          </w:p>
        </w:tc>
        <w:tc>
          <w:tcPr>
            <w:tcW w:w="147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24FB2C03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Коза</w:t>
            </w:r>
          </w:p>
        </w:tc>
        <w:tc>
          <w:tcPr>
            <w:tcW w:w="1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4ABA077C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Коза</w:t>
            </w:r>
          </w:p>
        </w:tc>
        <w:tc>
          <w:tcPr>
            <w:tcW w:w="249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111A4126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Коза</w:t>
            </w:r>
          </w:p>
        </w:tc>
        <w:tc>
          <w:tcPr>
            <w:tcW w:w="25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5A96ED15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Авто</w:t>
            </w:r>
          </w:p>
        </w:tc>
      </w:tr>
      <w:tr w:rsidR="009119E6" w14:paraId="56AA31EF" w14:textId="77777777" w:rsidTr="2019B7F0">
        <w:trPr>
          <w:trHeight w:val="300"/>
        </w:trPr>
        <w:tc>
          <w:tcPr>
            <w:tcW w:w="151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77361F04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Коза</w:t>
            </w:r>
          </w:p>
        </w:tc>
        <w:tc>
          <w:tcPr>
            <w:tcW w:w="147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5313F66B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</w:t>
            </w:r>
          </w:p>
        </w:tc>
        <w:tc>
          <w:tcPr>
            <w:tcW w:w="1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1DDE07DD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Коза</w:t>
            </w:r>
          </w:p>
        </w:tc>
        <w:tc>
          <w:tcPr>
            <w:tcW w:w="249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7ACAB16E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Авто</w:t>
            </w:r>
          </w:p>
        </w:tc>
        <w:tc>
          <w:tcPr>
            <w:tcW w:w="25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75C738C5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Коза</w:t>
            </w:r>
          </w:p>
        </w:tc>
      </w:tr>
      <w:tr w:rsidR="009119E6" w14:paraId="4CF3487C" w14:textId="77777777" w:rsidTr="2019B7F0">
        <w:trPr>
          <w:trHeight w:val="300"/>
        </w:trPr>
        <w:tc>
          <w:tcPr>
            <w:tcW w:w="151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6DC218F5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Коза</w:t>
            </w:r>
          </w:p>
        </w:tc>
        <w:tc>
          <w:tcPr>
            <w:tcW w:w="147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64D08D1D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Коза</w:t>
            </w:r>
          </w:p>
        </w:tc>
        <w:tc>
          <w:tcPr>
            <w:tcW w:w="1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599EF432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</w:t>
            </w:r>
          </w:p>
        </w:tc>
        <w:tc>
          <w:tcPr>
            <w:tcW w:w="249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52B560F0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Авто</w:t>
            </w:r>
          </w:p>
        </w:tc>
        <w:tc>
          <w:tcPr>
            <w:tcW w:w="25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4FFEA495" w14:textId="77777777" w:rsidR="009119E6" w:rsidRDefault="00D06D95" w:rsidP="6C5BC902">
            <w:pPr>
              <w:spacing w:before="100" w:after="10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Коза</w:t>
            </w:r>
          </w:p>
        </w:tc>
      </w:tr>
    </w:tbl>
    <w:p w14:paraId="5C908ABE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Для стратегии выигрыша важно следующее: если вы меняете выбор двери после действий ведущего, то вы выигрываете, если изначально выбрали проигрышную дверь. Это произойдёт с вероятностью 2⁄3, так как изначально выбрать проигрышную дверь можно 2 способами из 3.</w:t>
      </w:r>
    </w:p>
    <w:p w14:paraId="2F38CCFD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Но часто при решении этой задачи рассуждают примерно так: ведущий всегда в итоге убирает одну проигрышную дверь, и тогда вероятности появления автомобиля за двумя не открытыми становятся равны ½, вне зависимости от первоначального выбора. Но это неверно: хотя возможностей выбора действительно остаётся две, эти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возможности (с учётом предыстории) не являются равновероятными. Это так, поскольку изначально все двери имели равные шансы быть выигрышными, но затем имели разные вероятности быть исключёнными.</w:t>
      </w:r>
    </w:p>
    <w:p w14:paraId="7AC54E9C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большинства людей этот вывод противоречит интуитивному восприятию ситуации, и благодаря возникающему несоответствию между логическим выводом и ответом, к которому склоняет интуитивное мнение, задача и называется </w:t>
      </w:r>
      <w:r w:rsidRPr="2019B7F0">
        <w:rPr>
          <w:rFonts w:ascii="Times New Roman" w:eastAsia="Times New Roman" w:hAnsi="Times New Roman" w:cs="Times New Roman"/>
          <w:i/>
          <w:iCs/>
          <w:sz w:val="28"/>
          <w:szCs w:val="28"/>
        </w:rPr>
        <w:t>парадоксом Монти Холла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A25641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Ещё более наглядной ситуация с дверями становится, если представить что дверей не 3 а, скажем 1000, и после выбора игрока ведущий убирает 998 лишних, оставляя 2 двери: ту, которую выбрал игрок и ещё одну. Представляется более очевидным, что вероятности нахождения приза за этими дверьми различны, и не равны ½. Если мы меняем дверь, то проигрываем только в том случае, если сначала выбрали призовую дверь, вероятность чего 1:1000. Выигрываем же мы в том случае, если наш изначальный выбор был неправильным, а вероятность этого — 999 из 1000. В случае с 3 дверьми логика сохраняется, но вероятность выигрыша при смене решения соответственно 2⁄3, а не 999⁄1000.</w:t>
      </w:r>
    </w:p>
    <w:p w14:paraId="0BA37312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Другой способ рассуждения — замена условия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эквивалентным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Представим, что вместо осуществления игроком первоначального выбора (пусть это будет всегда дверь </w:t>
      </w:r>
      <w:r>
        <w:rPr>
          <w:rFonts w:ascii="Segoe UI Symbol" w:eastAsia="Segoe UI Symbol" w:hAnsi="Segoe UI Symbol" w:cs="Segoe UI Symbol"/>
          <w:color w:val="222222"/>
          <w:sz w:val="28"/>
          <w:szCs w:val="28"/>
        </w:rPr>
        <w:t>№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1) и последующего открытия ведущим двери с козой среди оставшихся (то есть всегда среди </w:t>
      </w:r>
      <w:r>
        <w:rPr>
          <w:rFonts w:ascii="Segoe UI Symbol" w:eastAsia="Segoe UI Symbol" w:hAnsi="Segoe UI Symbol" w:cs="Segoe UI Symbol"/>
          <w:color w:val="222222"/>
          <w:sz w:val="28"/>
          <w:szCs w:val="28"/>
        </w:rPr>
        <w:t>№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 и </w:t>
      </w:r>
      <w:r>
        <w:rPr>
          <w:rFonts w:ascii="Segoe UI Symbol" w:eastAsia="Segoe UI Symbol" w:hAnsi="Segoe UI Symbol" w:cs="Segoe UI Symbol"/>
          <w:color w:val="222222"/>
          <w:sz w:val="28"/>
          <w:szCs w:val="28"/>
        </w:rPr>
        <w:t>№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3), представим, что игроку нужно угадать дверь с первой попытки, но ему предварительно сообщается, что за дверью </w:t>
      </w:r>
      <w:r>
        <w:rPr>
          <w:rFonts w:ascii="Segoe UI Symbol" w:eastAsia="Segoe UI Symbol" w:hAnsi="Segoe UI Symbol" w:cs="Segoe UI Symbol"/>
          <w:color w:val="222222"/>
          <w:sz w:val="28"/>
          <w:szCs w:val="28"/>
        </w:rPr>
        <w:t>№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 автомобиль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может быть с исходной вероятностью (33 %), а среди оставшихся дверей указывается за какой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из дверей автомобиля точно нет (0 %). Соответственно, на последнюю дверь всегда будет приходиться 67 %, и стратегия её выбора предпочтительна.</w:t>
      </w:r>
    </w:p>
    <w:p w14:paraId="2789FCA2" w14:textId="77777777" w:rsidR="009119E6" w:rsidRDefault="00D06D95" w:rsidP="6C5BC902">
      <w:pPr>
        <w:spacing w:before="100" w:after="10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Другое поведение ведущего</w:t>
      </w:r>
    </w:p>
    <w:p w14:paraId="0800A1FE" w14:textId="77777777" w:rsidR="009119E6" w:rsidRDefault="00D06D95" w:rsidP="2019B7F0">
      <w:pPr>
        <w:spacing w:line="360" w:lineRule="auto"/>
        <w:ind w:left="709" w:firstLine="720"/>
        <w:jc w:val="both"/>
        <w:rPr>
          <w:rFonts w:ascii="Arial" w:eastAsia="Arial" w:hAnsi="Arial" w:cs="Arial"/>
          <w:b/>
          <w:bCs/>
          <w:color w:val="222222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Классическая версия парадокса Монти Холла утверждает, что ведущий обязательно предложит игроку сменить дверь, независимо от того, выбрал тот машину или нет. Но возможно и более сложное поведение ведущего. В этой таблице кратко описаны несколько вариантов поведения. Если не сказано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противное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призы равновероятно расположены за дверями, ведущий равновероятно выбирает из двух коз, и т. д.</w:t>
      </w:r>
    </w:p>
    <w:tbl>
      <w:tblPr>
        <w:tblW w:w="8970" w:type="dxa"/>
        <w:jc w:val="center"/>
        <w:tblLook w:val="04A0" w:firstRow="1" w:lastRow="0" w:firstColumn="1" w:lastColumn="0" w:noHBand="0" w:noVBand="1"/>
      </w:tblPr>
      <w:tblGrid>
        <w:gridCol w:w="4155"/>
        <w:gridCol w:w="4815"/>
      </w:tblGrid>
      <w:tr w:rsidR="009119E6" w14:paraId="247D9933" w14:textId="77777777" w:rsidTr="2019B7F0">
        <w:trPr>
          <w:trHeight w:val="375"/>
          <w:jc w:val="center"/>
        </w:trPr>
        <w:tc>
          <w:tcPr>
            <w:tcW w:w="8970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1CFB95AA" w14:textId="77777777" w:rsidR="009119E6" w:rsidRDefault="00D06D95" w:rsidP="2019B7F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Возможное поведение ведущего</w:t>
            </w:r>
          </w:p>
        </w:tc>
      </w:tr>
      <w:tr w:rsidR="009119E6" w14:paraId="6C1C8D1E" w14:textId="77777777" w:rsidTr="2019B7F0">
        <w:trPr>
          <w:trHeight w:val="300"/>
          <w:jc w:val="center"/>
        </w:trPr>
        <w:tc>
          <w:tcPr>
            <w:tcW w:w="415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2795FCC1" w14:textId="77777777" w:rsidR="009119E6" w:rsidRDefault="00D06D95" w:rsidP="6C5BC902">
            <w:pPr>
              <w:spacing w:before="120" w:after="12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Поведение ведущего</w:t>
            </w:r>
          </w:p>
        </w:tc>
        <w:tc>
          <w:tcPr>
            <w:tcW w:w="481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41ECC6DB" w14:textId="77777777" w:rsidR="009119E6" w:rsidRDefault="00D06D95" w:rsidP="6C5BC902">
            <w:pPr>
              <w:spacing w:before="120" w:after="120" w:line="36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9119E6" w14:paraId="59451DB6" w14:textId="77777777" w:rsidTr="2019B7F0">
        <w:trPr>
          <w:trHeight w:val="300"/>
          <w:jc w:val="center"/>
        </w:trPr>
        <w:tc>
          <w:tcPr>
            <w:tcW w:w="415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09FDB0D9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«Адский Монти»: ведущий предлагает сменить, если дверь правильная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[1]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5D4E0113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Смена всегда даст козу.</w:t>
            </w:r>
          </w:p>
        </w:tc>
      </w:tr>
      <w:tr w:rsidR="009119E6" w14:paraId="418607F2" w14:textId="77777777" w:rsidTr="2019B7F0">
        <w:trPr>
          <w:trHeight w:val="300"/>
          <w:jc w:val="center"/>
        </w:trPr>
        <w:tc>
          <w:tcPr>
            <w:tcW w:w="415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34FC46CA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«Ангельский Монти»: ведущий предлагает сменить, если дверь неправильная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[2]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023AE6A6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Смена всегда даст автомобиль.</w:t>
            </w:r>
          </w:p>
        </w:tc>
      </w:tr>
      <w:tr w:rsidR="009119E6" w14:paraId="4FE56731" w14:textId="77777777" w:rsidTr="2019B7F0">
        <w:trPr>
          <w:trHeight w:val="3630"/>
          <w:jc w:val="center"/>
        </w:trPr>
        <w:tc>
          <w:tcPr>
            <w:tcW w:w="415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7152415C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«Несведущий Монти» или «Монти</w:t>
            </w:r>
            <w:proofErr w:type="gramStart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ух»: ведущий нечаянно падает, открывается дверь, и оказывается, что за ней не машина. Другими словами, ведущий сам не знает, что за дверями, открывает дверь полностью наугад, и только случайно за ней не оказалось автомобиля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[3][4][5]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65A9541E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Смена даёт выигрыш </w:t>
            </w:r>
            <w:proofErr w:type="gramStart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½ случаев.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Именно так устроено американское шоу «</w:t>
            </w:r>
            <w:proofErr w:type="spellStart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Deal</w:t>
            </w:r>
            <w:proofErr w:type="spellEnd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or</w:t>
            </w:r>
            <w:proofErr w:type="spellEnd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Deal</w:t>
            </w:r>
            <w:proofErr w:type="spellEnd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» — правда, случайную дверь открывает сам игрок, и если за ней нет автомобиля, ведущий предлагает сменить.</w:t>
            </w:r>
          </w:p>
        </w:tc>
      </w:tr>
      <w:tr w:rsidR="009119E6" w14:paraId="4EF42956" w14:textId="77777777" w:rsidTr="2019B7F0">
        <w:trPr>
          <w:trHeight w:val="300"/>
          <w:jc w:val="center"/>
        </w:trPr>
        <w:tc>
          <w:tcPr>
            <w:tcW w:w="415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491475CD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выбирает одну из коз и открывает её, если игрок выбрал другую дверь.</w:t>
            </w:r>
          </w:p>
        </w:tc>
        <w:tc>
          <w:tcPr>
            <w:tcW w:w="481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078B3FF0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Смена даёт выигрыш </w:t>
            </w:r>
            <w:proofErr w:type="gramStart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½ случаев.</w:t>
            </w:r>
          </w:p>
        </w:tc>
      </w:tr>
      <w:tr w:rsidR="009119E6" w14:paraId="23E08239" w14:textId="77777777" w:rsidTr="2019B7F0">
        <w:trPr>
          <w:trHeight w:val="2205"/>
          <w:jc w:val="center"/>
        </w:trPr>
        <w:tc>
          <w:tcPr>
            <w:tcW w:w="415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54F28D0A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всегда открывает козу. Если выбран автомобиль, левая коза открывается с вероятностью </w:t>
            </w:r>
            <w:r w:rsidRPr="00EE06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правая с вероятностью </w:t>
            </w:r>
            <w:r w:rsidRPr="00EE06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q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=1</w:t>
            </w:r>
            <w:r w:rsidRPr="00EE06FC">
              <w:rPr>
                <w:rFonts w:ascii="Times New Roman" w:eastAsia="Cambria Math" w:hAnsi="Times New Roman" w:cs="Times New Roman"/>
                <w:sz w:val="28"/>
                <w:szCs w:val="28"/>
              </w:rPr>
              <w:t>−</w:t>
            </w:r>
            <w:r w:rsidRPr="00EE06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[4][5][6]</w:t>
            </w:r>
          </w:p>
        </w:tc>
        <w:tc>
          <w:tcPr>
            <w:tcW w:w="481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3AC1810F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ведущий открыл левую дверь, смена даёт выигрыш с вероятностью</w:t>
            </w:r>
            <w:proofErr w:type="gramStart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Если правую — . Однако испытуемый никак не может повлиять на вероятность того, что будет открыта правая дверь — независимо от его выбора это произойдёт с вероятностью .</w:t>
            </w:r>
          </w:p>
        </w:tc>
      </w:tr>
      <w:tr w:rsidR="009119E6" w14:paraId="0BFE7067" w14:textId="77777777" w:rsidTr="2019B7F0">
        <w:trPr>
          <w:trHeight w:val="300"/>
          <w:jc w:val="center"/>
        </w:trPr>
        <w:tc>
          <w:tcPr>
            <w:tcW w:w="415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0B0E66B4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 же самое, </w:t>
            </w:r>
            <w:r w:rsidRPr="00EE06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 w:rsidRPr="00EE06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q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=½ (классический случай).</w:t>
            </w:r>
          </w:p>
        </w:tc>
        <w:tc>
          <w:tcPr>
            <w:tcW w:w="481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2D9FE086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Смена даёт выигрыш с вероятностью 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⁄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19E6" w14:paraId="1F181206" w14:textId="77777777" w:rsidTr="2019B7F0">
        <w:trPr>
          <w:trHeight w:val="300"/>
          <w:jc w:val="center"/>
        </w:trPr>
        <w:tc>
          <w:tcPr>
            <w:tcW w:w="415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3C1EFFD5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 же самое, </w:t>
            </w:r>
            <w:r w:rsidRPr="00EE06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=1, </w:t>
            </w:r>
            <w:r w:rsidRPr="00EE06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q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=0 («бессильный Монти» — усталый ведущий стоит у левой двери и 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открывает ту козу, которая ближе).</w:t>
            </w:r>
          </w:p>
        </w:tc>
        <w:tc>
          <w:tcPr>
            <w:tcW w:w="481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4E1D38CF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Если ведущий открыл правую дверь, смена даёт гарантированный выигрыш. Если левую — вероятность ½.</w:t>
            </w:r>
          </w:p>
        </w:tc>
      </w:tr>
      <w:tr w:rsidR="009119E6" w14:paraId="1CABE1BB" w14:textId="77777777" w:rsidTr="2019B7F0">
        <w:trPr>
          <w:trHeight w:val="300"/>
          <w:jc w:val="center"/>
        </w:trPr>
        <w:tc>
          <w:tcPr>
            <w:tcW w:w="415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027A0B83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Ведущий открывает козу всегда, если выбран автомобиль, и с вероятностью ½ в противном случае.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[7]</w:t>
            </w:r>
          </w:p>
        </w:tc>
        <w:tc>
          <w:tcPr>
            <w:tcW w:w="481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6A57FCA2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Смена даёт выигрыш с вероятностью ½.</w:t>
            </w:r>
          </w:p>
        </w:tc>
      </w:tr>
      <w:tr w:rsidR="009119E6" w14:paraId="2A7B321B" w14:textId="77777777" w:rsidTr="2019B7F0">
        <w:trPr>
          <w:trHeight w:val="2370"/>
          <w:jc w:val="center"/>
        </w:trPr>
        <w:tc>
          <w:tcPr>
            <w:tcW w:w="415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389A8610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случай: игра повторяется многократно, вероятность спрятать автомобиль за той или иной дверью, а также открыть ту или иную дверь произвольная, однако ведущий знает, где автомобиль, и всегда предлагает смену, открывая одну из коз.</w:t>
            </w:r>
          </w:p>
        </w:tc>
        <w:tc>
          <w:tcPr>
            <w:tcW w:w="481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05B107CF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Равновесие </w:t>
            </w:r>
            <w:proofErr w:type="spellStart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Нэша</w:t>
            </w:r>
            <w:proofErr w:type="spellEnd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ведущему выгоднее всего именно парадокс Монти Холла в классическом виде (вероятность выигрыша 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⁄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). Машина прячется за любой из дверей с вероятностью ⅓; если есть выбор, открываем любую козу наугад.</w:t>
            </w:r>
          </w:p>
        </w:tc>
      </w:tr>
      <w:tr w:rsidR="009119E6" w14:paraId="05D1CA31" w14:textId="77777777" w:rsidTr="2019B7F0">
        <w:trPr>
          <w:trHeight w:val="300"/>
          <w:jc w:val="center"/>
        </w:trPr>
        <w:tc>
          <w:tcPr>
            <w:tcW w:w="415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0D5FCF48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То же самое, но ведущий может не открывать дверь вообще.</w:t>
            </w:r>
          </w:p>
        </w:tc>
        <w:tc>
          <w:tcPr>
            <w:tcW w:w="481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 w:themeFill="background1"/>
            <w:tcMar>
              <w:left w:w="6" w:type="dxa"/>
              <w:right w:w="6" w:type="dxa"/>
            </w:tcMar>
            <w:vAlign w:val="center"/>
          </w:tcPr>
          <w:p w14:paraId="7CE69100" w14:textId="77777777" w:rsidR="009119E6" w:rsidRPr="00EE06FC" w:rsidRDefault="00D06D95" w:rsidP="00EE06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Равновесие </w:t>
            </w:r>
            <w:proofErr w:type="spellStart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Нэша</w:t>
            </w:r>
            <w:proofErr w:type="spellEnd"/>
            <w:r w:rsidRPr="00EE06FC">
              <w:rPr>
                <w:rFonts w:ascii="Times New Roman" w:eastAsia="Times New Roman" w:hAnsi="Times New Roman" w:cs="Times New Roman"/>
                <w:sz w:val="28"/>
                <w:szCs w:val="28"/>
              </w:rPr>
              <w:t>: ведущему выгодно не открывать дверь, вероятность выигрыша ⅓.</w:t>
            </w:r>
          </w:p>
        </w:tc>
      </w:tr>
    </w:tbl>
    <w:p w14:paraId="6DFB9E20" w14:textId="6BBC4550" w:rsidR="009119E6" w:rsidRDefault="00D06D95" w:rsidP="005031C4">
      <w:pPr>
        <w:spacing w:before="100" w:after="100" w:line="36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Закон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Бенфорда</w:t>
      </w:r>
      <w:proofErr w:type="spellEnd"/>
    </w:p>
    <w:p w14:paraId="3EF7422D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Зако́н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Бе́нфорда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или закон первой цифры, описывает вероятность появления определённой первой значащей цифры в распределениях величин, взятых из реальной жизни. Закон верен для многих таких распределений, но не для всех. Также делает ряд предсказаний частоты встречаемости второй и третьей цифры.</w:t>
      </w:r>
    </w:p>
    <w:p w14:paraId="025C17F5" w14:textId="77777777" w:rsidR="009119E6" w:rsidRDefault="00D06D95" w:rsidP="6C5BC902">
      <w:pPr>
        <w:spacing w:before="100" w:after="100" w:line="360" w:lineRule="auto"/>
        <w:ind w:left="709"/>
        <w:jc w:val="both"/>
        <w:rPr>
          <w:rFonts w:ascii="Arial" w:eastAsia="Arial" w:hAnsi="Arial" w:cs="Arial"/>
          <w:b/>
          <w:bCs/>
          <w:color w:val="222222"/>
          <w:sz w:val="20"/>
          <w:szCs w:val="20"/>
        </w:rPr>
      </w:pPr>
      <w:r>
        <w:object w:dxaOrig="4555" w:dyaOrig="3401" w14:anchorId="73E4858F">
          <v:shape id="_x0000_i1026" type="#_x0000_t75" style="width:227.9pt;height:170.3pt" o:ole="">
            <v:imagedata r:id="rId12" o:title=""/>
          </v:shape>
          <o:OLEObject Type="Embed" ProgID="StaticMetafile" ShapeID="_x0000_i1026" DrawAspect="Content" ObjectID="_1696789542" r:id="rId13"/>
        </w:object>
      </w:r>
    </w:p>
    <w:p w14:paraId="05869362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Распределение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Бенфорда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 По горизонтали — первые значащие цифры, по вертикали — вероятность их появления</w:t>
      </w:r>
    </w:p>
    <w:p w14:paraId="5D42A00F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Закон,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обнаруженный Фрэнком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Бенфордом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выглядит так: если у нас основание системы счисления </w:t>
      </w:r>
      <w:r w:rsidRPr="2019B7F0">
        <w:rPr>
          <w:rFonts w:ascii="Times New Roman" w:eastAsia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 (</w:t>
      </w:r>
      <w:r w:rsidRPr="2019B7F0">
        <w:rPr>
          <w:rFonts w:ascii="Times New Roman" w:eastAsia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 &gt; 2), то для цифры </w:t>
      </w:r>
      <w:r w:rsidRPr="2019B7F0">
        <w:rPr>
          <w:rFonts w:ascii="Times New Roman" w:eastAsia="Times New Roman" w:hAnsi="Times New Roman" w:cs="Times New Roman"/>
          <w:i/>
          <w:i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 (</w:t>
      </w:r>
      <w:r w:rsidRPr="2019B7F0">
        <w:rPr>
          <w:rFonts w:ascii="Times New Roman" w:eastAsia="Times New Roman" w:hAnsi="Times New Roman" w:cs="Times New Roman"/>
          <w:i/>
          <w:i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Cambria Math" w:eastAsia="Cambria Math" w:hAnsi="Cambria Math" w:cs="Cambria Math"/>
          <w:sz w:val="28"/>
          <w:szCs w:val="28"/>
        </w:rPr>
        <w:t>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{1, …, </w:t>
      </w:r>
      <w:r w:rsidRPr="2019B7F0">
        <w:rPr>
          <w:rFonts w:ascii="Times New Roman" w:eastAsia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Cambria Math" w:eastAsia="Cambria Math" w:hAnsi="Cambria Math" w:cs="Cambria Math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1}) вероятность быть первой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значащей цифрой составляет</w:t>
      </w:r>
    </w:p>
    <w:p w14:paraId="15CC4056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Это в точности расстояние между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и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d+1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на логарифмической шкале.</w:t>
      </w:r>
    </w:p>
    <w:p w14:paraId="39C2DD75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Для равномерного распределения, если вы имеете цифры 1, 2, 3, 4 ,5 ,6 ,7, 8, 9, 0 (=10), то у вас есть 10 отрезков (от 0 до 1,…, от 8 до 9, от 9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10). Обратите внимание, все отрезки лежат в отрезке [0, 10]. Для отрезка [d, d+1] равномерное распределение должно быть пропорционально его длине, то есть длине отрезка [d, d+1], то есть (d+1)-d, поделённое на длину отрезка [0, 10], которая равна 10.</w:t>
      </w:r>
    </w:p>
    <w:p w14:paraId="60B3553D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Если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логарифмы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непрерывно распределены, вы должны взять логарифм числа перед тем, как рассмотреть отрезки. Для логарифмов рассматриваем отрезки от 1 до 10 (так как log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0 не имеет смысла). В этом случае вы будете иметь интервалы от log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 до log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2,…, от log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8 до log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9, от log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9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log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10. Все отрезки лежат в интервале [log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1, log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10]=[0, 1]. Длина последнего равна 1. Итак, рассматриваем отрезок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[d, d+1] на обычной шкале, в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логарифмической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шкале равномерное распределение будет пропорционально его длине.</w:t>
      </w:r>
    </w:p>
    <w:p w14:paraId="2055A12C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таблице ниже представлены найденные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Бенфордом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значения вероятностей первой цифры для десятичной системы счисления.</w:t>
      </w:r>
    </w:p>
    <w:tbl>
      <w:tblPr>
        <w:tblW w:w="11412" w:type="dxa"/>
        <w:tblLook w:val="04A0" w:firstRow="1" w:lastRow="0" w:firstColumn="1" w:lastColumn="0" w:noHBand="0" w:noVBand="1"/>
      </w:tblPr>
      <w:tblGrid>
        <w:gridCol w:w="1018"/>
        <w:gridCol w:w="1555"/>
        <w:gridCol w:w="1555"/>
        <w:gridCol w:w="1555"/>
        <w:gridCol w:w="1438"/>
        <w:gridCol w:w="1438"/>
        <w:gridCol w:w="1438"/>
        <w:gridCol w:w="1438"/>
        <w:gridCol w:w="1438"/>
        <w:gridCol w:w="1438"/>
      </w:tblGrid>
      <w:tr w:rsidR="009119E6" w14:paraId="78A58B6C" w14:textId="77777777" w:rsidTr="2019B7F0">
        <w:trPr>
          <w:trHeight w:val="915"/>
        </w:trPr>
        <w:tc>
          <w:tcPr>
            <w:tcW w:w="3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1559D049" w14:textId="77777777" w:rsidR="009119E6" w:rsidRDefault="00D06D95" w:rsidP="6C5BC902">
            <w:pPr>
              <w:spacing w:before="240" w:after="240" w:line="360" w:lineRule="auto"/>
              <w:ind w:left="709"/>
            </w:pPr>
            <w:r w:rsidRPr="6C5BC902">
              <w:rPr>
                <w:rFonts w:ascii="Arial" w:eastAsia="Arial" w:hAnsi="Arial" w:cs="Arial"/>
                <w:i/>
                <w:iCs/>
                <w:color w:val="222222"/>
                <w:szCs w:val="21"/>
              </w:rPr>
              <w:t>d</w:t>
            </w:r>
          </w:p>
        </w:tc>
        <w:tc>
          <w:tcPr>
            <w:tcW w:w="3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56B20A0C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7144751B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5FCD5EC4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3</w:t>
            </w:r>
          </w:p>
        </w:tc>
        <w:tc>
          <w:tcPr>
            <w:tcW w:w="144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2598DEE6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4</w:t>
            </w:r>
          </w:p>
        </w:tc>
        <w:tc>
          <w:tcPr>
            <w:tcW w:w="1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78941E47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5</w:t>
            </w:r>
          </w:p>
        </w:tc>
        <w:tc>
          <w:tcPr>
            <w:tcW w:w="14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29B4EA11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6</w:t>
            </w:r>
          </w:p>
        </w:tc>
        <w:tc>
          <w:tcPr>
            <w:tcW w:w="147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75697EEC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7</w:t>
            </w:r>
          </w:p>
        </w:tc>
        <w:tc>
          <w:tcPr>
            <w:tcW w:w="12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44B0A208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8</w:t>
            </w:r>
          </w:p>
        </w:tc>
        <w:tc>
          <w:tcPr>
            <w:tcW w:w="204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2B2B7304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9</w:t>
            </w:r>
          </w:p>
        </w:tc>
      </w:tr>
      <w:tr w:rsidR="009119E6" w14:paraId="71ACA63C" w14:textId="77777777" w:rsidTr="2019B7F0">
        <w:trPr>
          <w:trHeight w:val="1770"/>
        </w:trPr>
        <w:tc>
          <w:tcPr>
            <w:tcW w:w="3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543BC218" w14:textId="77777777" w:rsidR="009119E6" w:rsidRDefault="00D06D95" w:rsidP="6C5BC902">
            <w:pPr>
              <w:spacing w:before="240" w:after="240" w:line="360" w:lineRule="auto"/>
              <w:ind w:left="709"/>
            </w:pPr>
            <w:r w:rsidRPr="6C5BC902">
              <w:rPr>
                <w:rFonts w:ascii="Arial" w:eastAsia="Arial" w:hAnsi="Arial" w:cs="Arial"/>
                <w:i/>
                <w:iCs/>
                <w:color w:val="222222"/>
                <w:szCs w:val="21"/>
              </w:rPr>
              <w:t>p</w:t>
            </w:r>
          </w:p>
        </w:tc>
        <w:tc>
          <w:tcPr>
            <w:tcW w:w="3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057E3181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30,1 %</w:t>
            </w:r>
          </w:p>
        </w:tc>
        <w:tc>
          <w:tcPr>
            <w:tcW w:w="78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5B582852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17,6 %</w:t>
            </w:r>
          </w:p>
        </w:tc>
        <w:tc>
          <w:tcPr>
            <w:tcW w:w="9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737CF7F3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12,5 %</w:t>
            </w:r>
          </w:p>
        </w:tc>
        <w:tc>
          <w:tcPr>
            <w:tcW w:w="144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720A96EA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9,7 %</w:t>
            </w:r>
          </w:p>
        </w:tc>
        <w:tc>
          <w:tcPr>
            <w:tcW w:w="1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6CDB258A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7,9 %</w:t>
            </w:r>
          </w:p>
        </w:tc>
        <w:tc>
          <w:tcPr>
            <w:tcW w:w="147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70A58405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6,7 %</w:t>
            </w:r>
          </w:p>
        </w:tc>
        <w:tc>
          <w:tcPr>
            <w:tcW w:w="147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23DA56A0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5,8 %</w:t>
            </w:r>
          </w:p>
        </w:tc>
        <w:tc>
          <w:tcPr>
            <w:tcW w:w="12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4AD75C25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5,1 %</w:t>
            </w:r>
          </w:p>
        </w:tc>
        <w:tc>
          <w:tcPr>
            <w:tcW w:w="204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left w:w="96" w:type="dxa"/>
              <w:right w:w="96" w:type="dxa"/>
            </w:tcMar>
            <w:vAlign w:val="center"/>
          </w:tcPr>
          <w:p w14:paraId="13CEA7FB" w14:textId="77777777" w:rsidR="009119E6" w:rsidRDefault="00D06D95" w:rsidP="6C5BC902">
            <w:pPr>
              <w:spacing w:before="240" w:after="240" w:line="360" w:lineRule="auto"/>
              <w:ind w:left="709"/>
            </w:pPr>
            <w:r>
              <w:rPr>
                <w:rFonts w:ascii="Arial" w:eastAsia="Arial" w:hAnsi="Arial" w:cs="Arial"/>
                <w:color w:val="222222"/>
                <w:szCs w:val="21"/>
              </w:rPr>
              <w:t>4,6 %</w:t>
            </w:r>
          </w:p>
        </w:tc>
      </w:tr>
    </w:tbl>
    <w:p w14:paraId="2F4C87F3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распределение зависит только от системы счисления, но не от единицы измерения. Другими словами, если тонны перевести в фунты, а квадратные километры — в акры, распределение не изменится.</w:t>
      </w:r>
    </w:p>
    <w:p w14:paraId="61B050C0" w14:textId="77777777" w:rsidR="009119E6" w:rsidRDefault="00D06D95" w:rsidP="6C5BC902">
      <w:pPr>
        <w:spacing w:before="100" w:after="10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История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</w:t>
      </w:r>
    </w:p>
    <w:p w14:paraId="2742BD1C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Впервые проявление этого закона заметил американский астроном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Саймон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Ньюком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1881 году. Он обнаружил, что книги, содержащие логарифмические таблицы, истрёпаны там, где содержатся логарифмы чисел, начинающихся с единицы, и целы для чисел, начинающихся на 9.</w:t>
      </w:r>
    </w:p>
    <w:p w14:paraId="32B63E39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Это явление было повторно обнаружено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физиком Фрэнком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Бенфордом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в 1938 году.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Бенфорд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проанализировал около 20 таблиц, среди которых были данные о площади бассейна 335 рек, удельной теплоёмкости и молекулярном весе тысяч химических соединений и, в том числе, номера домов первых 342 улиц, указанных в справочнике. Анализ чисел показал, что единица является первой значащей цифрой с вероятностью не 1/9, как следовало ожидать, а около 1/3.</w:t>
      </w:r>
    </w:p>
    <w:p w14:paraId="54C4B685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Впоследствии закон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Бенфорда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получил своё объяснение — он применим ко множествам чисел, которые могут расти экспоненциально (другими словами, темп роста величины пропорционален её текущему значению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)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 Например, в их число входят счета за электричество, остатки товаров на складах, цены на акции, численность населения, смертность, длины рек, площади стран, высоты самых высоких сооружений в мире.</w:t>
      </w:r>
    </w:p>
    <w:p w14:paraId="71C6B1F3" w14:textId="77777777" w:rsidR="009119E6" w:rsidRDefault="00D06D95" w:rsidP="6C5BC902">
      <w:pPr>
        <w:spacing w:before="100" w:after="10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Ограничения</w:t>
      </w:r>
    </w:p>
    <w:p w14:paraId="18C7CB09" w14:textId="1C3CEEA8" w:rsidR="009119E6" w:rsidRDefault="005031C4" w:rsidP="6C5BC902">
      <w:pPr>
        <w:spacing w:before="100" w:after="100" w:line="360" w:lineRule="auto"/>
        <w:ind w:left="709"/>
        <w:jc w:val="both"/>
        <w:rPr>
          <w:rFonts w:ascii="Arial" w:eastAsia="Arial" w:hAnsi="Arial" w:cs="Arial"/>
          <w:b/>
          <w:bCs/>
          <w:color w:val="222222"/>
          <w:sz w:val="20"/>
          <w:szCs w:val="20"/>
        </w:rPr>
      </w:pPr>
      <w:r>
        <w:object w:dxaOrig="6074" w:dyaOrig="3503" w14:anchorId="7D4B61A5">
          <v:shape id="_x0000_i1027" type="#_x0000_t75" style="width:261.7pt;height:151.5pt" o:ole="">
            <v:imagedata r:id="rId14" o:title=""/>
          </v:shape>
          <o:OLEObject Type="Embed" ProgID="StaticMetafile" ShapeID="_x0000_i1027" DrawAspect="Content" ObjectID="_1696789543" r:id="rId15"/>
        </w:object>
      </w:r>
    </w:p>
    <w:p w14:paraId="106B6434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Сопоставление распределения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Бенфорда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(красный цвет) и распределения первых бу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кв в сл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овах русского языка (синий цвет). По горизонтали — первые значащие буквы, по вертикали — вероятность их появления.</w:t>
      </w:r>
    </w:p>
    <w:p w14:paraId="73F4E4AF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Закон обычно не действует для распределений с заданными минимальными или максимальными значениями (список компаний с доходом от 50000 до 100000 долларов). Также не подходят распределения, охватывающие только один или два порядка величин (</w:t>
      </w:r>
      <w:r>
        <w:rPr>
          <w:rFonts w:ascii="Times New Roman" w:eastAsia="Times New Roman" w:hAnsi="Times New Roman" w:cs="Times New Roman"/>
          <w:sz w:val="28"/>
          <w:szCs w:val="28"/>
        </w:rPr>
        <w:t>IQ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взрослых). Закон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Бенфорда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не применим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ко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множеству букв (рис.). Объём данных должен быть достаточен для применения статистических методов.</w:t>
      </w:r>
    </w:p>
    <w:p w14:paraId="7150C0EA" w14:textId="77777777" w:rsidR="009119E6" w:rsidRDefault="00D06D95" w:rsidP="6C5BC902">
      <w:pPr>
        <w:spacing w:before="100" w:after="10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Объяснения</w:t>
      </w:r>
    </w:p>
    <w:p w14:paraId="39D6BD48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b/>
          <w:bCs/>
          <w:color w:val="222222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Закон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Бенфорда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может быть объяснён разными путями.</w:t>
      </w:r>
    </w:p>
    <w:p w14:paraId="1BCD680D" w14:textId="77777777" w:rsidR="009119E6" w:rsidRDefault="00D06D95" w:rsidP="6C5BC902">
      <w:pPr>
        <w:spacing w:before="100" w:after="10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 процесса с экспоненциальным ростом</w:t>
      </w:r>
    </w:p>
    <w:p w14:paraId="132B11D6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Точная форма Закона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Бенфорда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может быть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объяснена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если предположить, что равномерно распределены </w:t>
      </w:r>
      <w:r w:rsidRPr="2019B7F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логарифмы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чисел; к примеру, вероятность нахождения числа между 100 и 1000 (логарифм между 2 и 3) является такой же, как и между 10 000 и 100 000 (логарифм между 4 и 5). Для многих множеств чисел, особенно имеющих </w:t>
      </w:r>
      <w:r>
        <w:rPr>
          <w:rFonts w:ascii="Times New Roman" w:eastAsia="Times New Roman" w:hAnsi="Times New Roman" w:cs="Times New Roman"/>
          <w:sz w:val="28"/>
          <w:szCs w:val="28"/>
        </w:rPr>
        <w:t>экспоненциальный рост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таких как доходы или цены на бирже, это разумное предположение.</w:t>
      </w:r>
    </w:p>
    <w:p w14:paraId="389E93DB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К примеру, если количество увеличивается непрерывно и удваивается каждый год, тогда оно будет в два раза больше начального значения через год, в четыре раза больше начального значения через два года, в восемь раз больше начального значения через три года, и т. д. Когда это количество достигает значения 100, оно будет иметь значащую цифру 1 на протяжении года, достигая 200 в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конце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первого года.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течение следующего года значение возрастёт с 200 до 400; значащая цифра будет 2 (значение будет от 200 до 300) для немногим более семи месяцев (напоминаю, мы имеем дело с экспоненциальным ростом, то есть с 200 до 300 функция растёт «медленнее», чем с 300 до 400) и 3 для оставшихся пяти месяцев.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 третий год значащая цифра пройдёт значения 4, 5, 6, и 7 проводя всё меньше времени, чтобы достичь следующей цифры, достигая 800 к концу того года. В начале четвёртого года, значащая цифра пройдёт от 8 до 9. Значащая цифра станет опять 1, когда значение достигнет 1000 и всё начнётся сначала, понадобится год, чтобы удвоить значение от 1000 до 2000. Этот пример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демонстрирует, что таблицы данных, которые включают измерения экспоненциально растущих величин, будут согласовываться с законом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Бенфорда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 Однако этот закон выполняется также для многих случаев, когда экспоненциальный рост не очевиден.</w:t>
      </w:r>
    </w:p>
    <w:p w14:paraId="42DF35F3" w14:textId="77777777" w:rsidR="009119E6" w:rsidRDefault="00D06D95" w:rsidP="6C5BC902">
      <w:pPr>
        <w:spacing w:before="100" w:after="10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Масштабная инвариантность</w:t>
      </w:r>
    </w:p>
    <w:p w14:paraId="20223C80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закон может быть альтернативно объяснён тем фактом, что если действительно верно, что первая цифра имеет особое распределение, то оно должно не зависеть от величин, в которых оно измеряется. Это значит, что при переводе, к примеру, футов в ярды (умножение на константу), распределение должно остаться неизменным — это масштабная инвариантность, и единственное непрерывное распределение, которое выполняет это требование — то, в котором логарифм равномерно распределён.</w:t>
      </w:r>
    </w:p>
    <w:p w14:paraId="56EBA4C1" w14:textId="77777777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 примеру, первая (не нулевая) </w:t>
      </w:r>
      <w:r>
        <w:rPr>
          <w:rFonts w:ascii="Times New Roman" w:eastAsia="Times New Roman" w:hAnsi="Times New Roman" w:cs="Times New Roman"/>
          <w:sz w:val="28"/>
          <w:szCs w:val="28"/>
        </w:rPr>
        <w:t>цифра длины или расстояния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объекта должна иметь такое же распределение независимо от того проводится ли измерение в футах, ярдах или чём-то другом. Но в ярде есть три фута, поэтому вероятность, что первая цифра длины в ярдах будет 1, должна быть такой же, как вероятность, что первая цифра длины в футах 3, 4 или 5. Применяя это ко всем возможным шкалам измерений даёт логарифмическое распределение,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учитывая что log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(1) = 0 и log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</w:rPr>
        <w:t>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(10) = 1 даёт закон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Бенфорда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То есть если есть распределение первой цифры, которое не зависит от единиц измерения, единственным распределением первой цифры может быть то, которое подчиняется закону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Бенфорда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56A62B3F" w14:textId="77777777" w:rsidR="00DF5A8D" w:rsidRDefault="00DF5A8D" w:rsidP="6C5BC902">
      <w:pPr>
        <w:spacing w:before="100" w:after="10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9E78FA9" w14:textId="19C5DC6E" w:rsidR="009119E6" w:rsidRDefault="00D06D95" w:rsidP="6C5BC902">
      <w:pPr>
        <w:spacing w:before="100" w:after="10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Многократные распределения вероятности</w:t>
      </w:r>
    </w:p>
    <w:p w14:paraId="26FBEFEA" w14:textId="62115F92" w:rsidR="009119E6" w:rsidRDefault="00D06D95" w:rsidP="2019B7F0">
      <w:pPr>
        <w:spacing w:line="360" w:lineRule="auto"/>
        <w:ind w:left="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чисел, взятых из определённого распределения, к примеру, значений IQ, ростов людей или других переменных, подчиняющихся нормальному распределению, закон не выполняется. Однако, если «перемешать» числа из множества подобных распределений, к примеру, взяв числа из газетных статей, закон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Бенфорда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снова проявится. Это также может быть доказано математически: если неоднократно «случайно» выбирать распределение вероятностей и потом случайно выбрать число согласно этому распределению, получившийся список будет подчиняться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Бенфорда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7D6F69" w14:textId="0BA116C7" w:rsidR="60C2D5C7" w:rsidRDefault="00DF5A8D" w:rsidP="007C0A52">
      <w:pPr>
        <w:spacing w:line="360" w:lineRule="auto"/>
        <w:ind w:left="709"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60C2D5C7" w:rsidRPr="60C2D5C7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Заключение</w:t>
      </w:r>
    </w:p>
    <w:p w14:paraId="5281FC96" w14:textId="27D075CE" w:rsidR="60C2D5C7" w:rsidRDefault="3E348E87" w:rsidP="007C0A52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3E348E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проклассифицировал математические неожиданности в соответствии с разделами математики, к которым они принадлежат;</w:t>
      </w:r>
    </w:p>
    <w:p w14:paraId="156C4F79" w14:textId="67CEAAB7" w:rsidR="60C2D5C7" w:rsidRDefault="3E348E87" w:rsidP="007C0A52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3E348E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рассмотрел восемь основных вида геометрических парадоксов, которые вызвали у меня особый интерес, так как нашли своё отражение в </w:t>
      </w:r>
      <w:proofErr w:type="spellStart"/>
      <w:r w:rsidRPr="3E348E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имп</w:t>
      </w:r>
      <w:proofErr w:type="spellEnd"/>
      <w:r w:rsidRPr="3E348E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-арт – искусстве парадоксальных картин.</w:t>
      </w:r>
    </w:p>
    <w:p w14:paraId="1784C3FF" w14:textId="1059998E" w:rsidR="60C2D5C7" w:rsidRDefault="60C2D5C7" w:rsidP="007C0A52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</w:p>
    <w:p w14:paraId="21B1FF7D" w14:textId="4229ED34" w:rsidR="009119E6" w:rsidRDefault="00DF5A8D" w:rsidP="6C5BC902">
      <w:pPr>
        <w:spacing w:before="100" w:after="100"/>
        <w:ind w:left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br w:type="page"/>
      </w:r>
      <w:r w:rsidR="00D06D95" w:rsidRPr="6C5BC902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Список используемых источников</w:t>
      </w:r>
    </w:p>
    <w:p w14:paraId="29CAA9D0" w14:textId="77777777" w:rsidR="009119E6" w:rsidRPr="00DF5A8D" w:rsidRDefault="005D3C4A" w:rsidP="00DF5A8D">
      <w:pPr>
        <w:pStyle w:val="a5"/>
        <w:numPr>
          <w:ilvl w:val="0"/>
          <w:numId w:val="4"/>
        </w:numPr>
        <w:spacing w:before="100" w:after="10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hyperlink r:id="rId16" w:history="1">
        <w:r w:rsidR="00D06D95" w:rsidRPr="00DF5A8D">
          <w:rPr>
            <w:rStyle w:val="a3"/>
            <w:rFonts w:ascii="Times New Roman" w:eastAsia="Times New Roman" w:hAnsi="Times New Roman"/>
            <w:sz w:val="28"/>
            <w:szCs w:val="28"/>
          </w:rPr>
          <w:t>https://ru.wikipedia.org/wiki/Ноль_в_нулевой_степени</w:t>
        </w:r>
      </w:hyperlink>
    </w:p>
    <w:p w14:paraId="440E5936" w14:textId="77777777" w:rsidR="009119E6" w:rsidRPr="00DF5A8D" w:rsidRDefault="005D3C4A" w:rsidP="00DF5A8D">
      <w:pPr>
        <w:pStyle w:val="a5"/>
        <w:numPr>
          <w:ilvl w:val="0"/>
          <w:numId w:val="4"/>
        </w:numPr>
        <w:spacing w:before="100" w:after="10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hyperlink r:id="rId17" w:history="1">
        <w:r w:rsidR="00D06D95" w:rsidRPr="00DF5A8D">
          <w:rPr>
            <w:rStyle w:val="a3"/>
            <w:rFonts w:ascii="Times New Roman" w:eastAsia="Times New Roman" w:hAnsi="Times New Roman"/>
            <w:sz w:val="28"/>
            <w:szCs w:val="28"/>
          </w:rPr>
          <w:t>https://ru.wikipedia.org/wiki/Парадокс_«Гранд-отель»</w:t>
        </w:r>
      </w:hyperlink>
    </w:p>
    <w:p w14:paraId="3F3E842A" w14:textId="77777777" w:rsidR="009119E6" w:rsidRPr="00DF5A8D" w:rsidRDefault="005D3C4A" w:rsidP="00DF5A8D">
      <w:pPr>
        <w:pStyle w:val="a5"/>
        <w:numPr>
          <w:ilvl w:val="0"/>
          <w:numId w:val="4"/>
        </w:numPr>
        <w:spacing w:before="100" w:after="10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hyperlink r:id="rId18" w:history="1">
        <w:r w:rsidR="00D06D95" w:rsidRPr="00DF5A8D">
          <w:rPr>
            <w:rStyle w:val="a3"/>
            <w:rFonts w:ascii="Times New Roman" w:eastAsia="Times New Roman" w:hAnsi="Times New Roman"/>
            <w:sz w:val="28"/>
            <w:szCs w:val="28"/>
          </w:rPr>
          <w:t>https://ru.wikipedia.org/wiki/Ахиллес_и_черепаха</w:t>
        </w:r>
      </w:hyperlink>
    </w:p>
    <w:p w14:paraId="2FE39B6B" w14:textId="77777777" w:rsidR="009119E6" w:rsidRPr="00DF5A8D" w:rsidRDefault="005D3C4A" w:rsidP="00DF5A8D">
      <w:pPr>
        <w:pStyle w:val="a5"/>
        <w:numPr>
          <w:ilvl w:val="0"/>
          <w:numId w:val="4"/>
        </w:numPr>
        <w:spacing w:before="100" w:after="10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hyperlink r:id="rId19" w:history="1">
        <w:r w:rsidR="00D06D95" w:rsidRPr="00DF5A8D">
          <w:rPr>
            <w:rStyle w:val="a3"/>
            <w:rFonts w:ascii="Times New Roman" w:eastAsia="Times New Roman" w:hAnsi="Times New Roman"/>
            <w:sz w:val="28"/>
            <w:szCs w:val="28"/>
          </w:rPr>
          <w:t>https://ru.wikipedia.org/wiki/Дихотомия_(апория)</w:t>
        </w:r>
      </w:hyperlink>
    </w:p>
    <w:p w14:paraId="60393A4B" w14:textId="77777777" w:rsidR="009119E6" w:rsidRPr="00DF5A8D" w:rsidRDefault="005D3C4A" w:rsidP="00DF5A8D">
      <w:pPr>
        <w:pStyle w:val="a5"/>
        <w:numPr>
          <w:ilvl w:val="0"/>
          <w:numId w:val="4"/>
        </w:numPr>
        <w:spacing w:before="100" w:after="10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hyperlink r:id="rId20" w:history="1">
        <w:r w:rsidR="00D06D95" w:rsidRPr="00DF5A8D">
          <w:rPr>
            <w:rStyle w:val="a3"/>
            <w:rFonts w:ascii="Times New Roman" w:eastAsia="Times New Roman" w:hAnsi="Times New Roman"/>
            <w:sz w:val="28"/>
            <w:szCs w:val="28"/>
          </w:rPr>
          <w:t>https://ru.wikipedia.org/wiki/Задача_о_18_точках</w:t>
        </w:r>
      </w:hyperlink>
    </w:p>
    <w:p w14:paraId="39C2D673" w14:textId="77777777" w:rsidR="009119E6" w:rsidRPr="00DF5A8D" w:rsidRDefault="005D3C4A" w:rsidP="00DF5A8D">
      <w:pPr>
        <w:pStyle w:val="a5"/>
        <w:numPr>
          <w:ilvl w:val="0"/>
          <w:numId w:val="4"/>
        </w:numPr>
        <w:spacing w:before="100" w:after="10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hyperlink r:id="rId21" w:history="1">
        <w:r w:rsidR="00D06D95" w:rsidRPr="00DF5A8D">
          <w:rPr>
            <w:rStyle w:val="a3"/>
            <w:rFonts w:ascii="Times New Roman" w:eastAsia="Times New Roman" w:hAnsi="Times New Roman"/>
            <w:sz w:val="28"/>
            <w:szCs w:val="28"/>
          </w:rPr>
          <w:t>https://ru.wikipedia.org/wiki/Феномен_Уилла_Роджерса</w:t>
        </w:r>
      </w:hyperlink>
    </w:p>
    <w:p w14:paraId="13E393FC" w14:textId="77777777" w:rsidR="009119E6" w:rsidRPr="00DF5A8D" w:rsidRDefault="005D3C4A" w:rsidP="00DF5A8D">
      <w:pPr>
        <w:pStyle w:val="a5"/>
        <w:numPr>
          <w:ilvl w:val="0"/>
          <w:numId w:val="4"/>
        </w:numPr>
        <w:spacing w:before="100" w:after="10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hyperlink r:id="rId22" w:history="1">
        <w:r w:rsidR="00D06D95" w:rsidRPr="00DF5A8D">
          <w:rPr>
            <w:rStyle w:val="a3"/>
            <w:rFonts w:ascii="Times New Roman" w:eastAsia="Times New Roman" w:hAnsi="Times New Roman"/>
            <w:sz w:val="28"/>
            <w:szCs w:val="28"/>
          </w:rPr>
          <w:t>https://ru.wikipedia.org/wiki/Парадокс_Монти_Холла</w:t>
        </w:r>
      </w:hyperlink>
    </w:p>
    <w:p w14:paraId="65CE2103" w14:textId="14740B0E" w:rsidR="2019B7F0" w:rsidRPr="00DF5A8D" w:rsidRDefault="2019B7F0" w:rsidP="00DF5A8D">
      <w:pPr>
        <w:pStyle w:val="a5"/>
        <w:numPr>
          <w:ilvl w:val="0"/>
          <w:numId w:val="4"/>
        </w:numPr>
        <w:spacing w:before="100" w:after="10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5A8D">
        <w:rPr>
          <w:rFonts w:ascii="Times New Roman" w:eastAsia="Times New Roman" w:hAnsi="Times New Roman" w:cs="Times New Roman"/>
          <w:sz w:val="28"/>
          <w:szCs w:val="28"/>
        </w:rPr>
        <w:t>Лямин</w:t>
      </w:r>
      <w:proofErr w:type="spellEnd"/>
      <w:r w:rsidRPr="00DF5A8D">
        <w:rPr>
          <w:rFonts w:ascii="Times New Roman" w:eastAsia="Times New Roman" w:hAnsi="Times New Roman" w:cs="Times New Roman"/>
          <w:sz w:val="28"/>
          <w:szCs w:val="28"/>
        </w:rPr>
        <w:t xml:space="preserve"> А.А. «Математические парадоксы и интересные задачи».</w:t>
      </w:r>
    </w:p>
    <w:p w14:paraId="2EBECB05" w14:textId="639C4568" w:rsidR="2019B7F0" w:rsidRPr="00DF5A8D" w:rsidRDefault="2019B7F0" w:rsidP="00DF5A8D">
      <w:pPr>
        <w:pStyle w:val="a5"/>
        <w:numPr>
          <w:ilvl w:val="0"/>
          <w:numId w:val="4"/>
        </w:numPr>
        <w:spacing w:before="100" w:after="10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A8D">
        <w:rPr>
          <w:rFonts w:ascii="Times New Roman" w:eastAsia="Times New Roman" w:hAnsi="Times New Roman" w:cs="Times New Roman"/>
          <w:sz w:val="28"/>
          <w:szCs w:val="28"/>
        </w:rPr>
        <w:t>Перельман Я.И. «Занимательная математика».</w:t>
      </w:r>
    </w:p>
    <w:p w14:paraId="4E813A1D" w14:textId="15AE573C" w:rsidR="2019B7F0" w:rsidRDefault="2019B7F0" w:rsidP="00DF5A8D">
      <w:pPr>
        <w:spacing w:before="100" w:after="100" w:line="360" w:lineRule="auto"/>
        <w:jc w:val="both"/>
        <w:rPr>
          <w:rFonts w:ascii="Roboto" w:eastAsia="Roboto" w:hAnsi="Roboto" w:cs="Roboto"/>
          <w:szCs w:val="21"/>
        </w:rPr>
      </w:pPr>
    </w:p>
    <w:p w14:paraId="70DF9E56" w14:textId="77777777" w:rsidR="009119E6" w:rsidRDefault="009119E6" w:rsidP="00DF5A8D">
      <w:pPr>
        <w:spacing w:before="100" w:after="10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44E871BC" w14:textId="77777777" w:rsidR="009119E6" w:rsidRDefault="009119E6">
      <w:pPr>
        <w:spacing w:before="100" w:after="100"/>
        <w:ind w:left="-63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144A5D23" w14:textId="77777777" w:rsidR="009119E6" w:rsidRDefault="009119E6">
      <w:pPr>
        <w:spacing w:before="100" w:after="100"/>
        <w:ind w:left="-63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sectPr w:rsidR="009119E6" w:rsidSect="00810379">
      <w:footerReference w:type="default" r:id="rId23"/>
      <w:pgSz w:w="12240" w:h="15840"/>
      <w:pgMar w:top="1440" w:right="1440" w:bottom="1440" w:left="1440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6F44E" w14:textId="77777777" w:rsidR="005D3C4A" w:rsidRDefault="005D3C4A" w:rsidP="00810379">
      <w:r>
        <w:separator/>
      </w:r>
    </w:p>
  </w:endnote>
  <w:endnote w:type="continuationSeparator" w:id="0">
    <w:p w14:paraId="53335CB9" w14:textId="77777777" w:rsidR="005D3C4A" w:rsidRDefault="005D3C4A" w:rsidP="0081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78028"/>
      <w:docPartObj>
        <w:docPartGallery w:val="Page Numbers (Bottom of Page)"/>
        <w:docPartUnique/>
      </w:docPartObj>
    </w:sdtPr>
    <w:sdtEndPr/>
    <w:sdtContent>
      <w:p w14:paraId="175BA12F" w14:textId="064E143E" w:rsidR="00810379" w:rsidRDefault="008103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9EA">
          <w:rPr>
            <w:noProof/>
          </w:rPr>
          <w:t>19</w:t>
        </w:r>
        <w:r>
          <w:fldChar w:fldCharType="end"/>
        </w:r>
      </w:p>
    </w:sdtContent>
  </w:sdt>
  <w:p w14:paraId="1933C993" w14:textId="77777777" w:rsidR="00810379" w:rsidRDefault="008103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032EE" w14:textId="77777777" w:rsidR="005D3C4A" w:rsidRDefault="005D3C4A" w:rsidP="00810379">
      <w:r>
        <w:separator/>
      </w:r>
    </w:p>
  </w:footnote>
  <w:footnote w:type="continuationSeparator" w:id="0">
    <w:p w14:paraId="3B003337" w14:textId="77777777" w:rsidR="005D3C4A" w:rsidRDefault="005D3C4A" w:rsidP="00810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>
      <w:start w:val="1"/>
      <w:numFmt w:val="bullet"/>
      <w:lvlText w:val="•"/>
      <w:lvlJc w:val="left"/>
    </w:lvl>
  </w:abstractNum>
  <w:abstractNum w:abstractNumId="1">
    <w:nsid w:val="41CF7015"/>
    <w:multiLevelType w:val="hybridMultilevel"/>
    <w:tmpl w:val="5656B5A6"/>
    <w:lvl w:ilvl="0" w:tplc="1D827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2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82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4B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45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E7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C0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27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4C0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C1FA2"/>
    <w:multiLevelType w:val="hybridMultilevel"/>
    <w:tmpl w:val="A6A0F062"/>
    <w:lvl w:ilvl="0" w:tplc="9B86F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AD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4B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8D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ED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102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8A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2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7A0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D3CA1"/>
    <w:multiLevelType w:val="hybridMultilevel"/>
    <w:tmpl w:val="6C9AC9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rsids>
    <w:rsidRoot w:val="536E8F88"/>
    <w:rsid w:val="0003293D"/>
    <w:rsid w:val="00061D9A"/>
    <w:rsid w:val="000B297F"/>
    <w:rsid w:val="000D3188"/>
    <w:rsid w:val="00180617"/>
    <w:rsid w:val="001901D2"/>
    <w:rsid w:val="001A090C"/>
    <w:rsid w:val="00226A96"/>
    <w:rsid w:val="002A6C06"/>
    <w:rsid w:val="002E1B15"/>
    <w:rsid w:val="00310569"/>
    <w:rsid w:val="003823CE"/>
    <w:rsid w:val="003F429A"/>
    <w:rsid w:val="004F76F8"/>
    <w:rsid w:val="005031C4"/>
    <w:rsid w:val="005D3C4A"/>
    <w:rsid w:val="006E0D77"/>
    <w:rsid w:val="00767DA4"/>
    <w:rsid w:val="007C0A52"/>
    <w:rsid w:val="00810379"/>
    <w:rsid w:val="008771FA"/>
    <w:rsid w:val="008E6A2B"/>
    <w:rsid w:val="008F3BBD"/>
    <w:rsid w:val="009119E6"/>
    <w:rsid w:val="00931BCF"/>
    <w:rsid w:val="0094259C"/>
    <w:rsid w:val="009E4540"/>
    <w:rsid w:val="00AC3A48"/>
    <w:rsid w:val="00B65D75"/>
    <w:rsid w:val="00BB691D"/>
    <w:rsid w:val="00C27104"/>
    <w:rsid w:val="00C70A30"/>
    <w:rsid w:val="00D06D95"/>
    <w:rsid w:val="00DF5A8D"/>
    <w:rsid w:val="00E819EA"/>
    <w:rsid w:val="00EE06FC"/>
    <w:rsid w:val="00F22D54"/>
    <w:rsid w:val="00FF6218"/>
    <w:rsid w:val="18D516F6"/>
    <w:rsid w:val="1E20EB35"/>
    <w:rsid w:val="2019B7F0"/>
    <w:rsid w:val="268137B4"/>
    <w:rsid w:val="3E348E87"/>
    <w:rsid w:val="41550A25"/>
    <w:rsid w:val="536E8F88"/>
    <w:rsid w:val="60C2D5C7"/>
    <w:rsid w:val="6C5BC902"/>
    <w:rsid w:val="7B45F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4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rsid w:val="008103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10379"/>
    <w:rPr>
      <w:sz w:val="21"/>
      <w:szCs w:val="22"/>
    </w:rPr>
  </w:style>
  <w:style w:type="paragraph" w:styleId="a8">
    <w:name w:val="footer"/>
    <w:basedOn w:val="a"/>
    <w:link w:val="a9"/>
    <w:uiPriority w:val="99"/>
    <w:rsid w:val="008103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0379"/>
    <w:rPr>
      <w:sz w:val="21"/>
      <w:szCs w:val="22"/>
    </w:rPr>
  </w:style>
  <w:style w:type="paragraph" w:styleId="aa">
    <w:name w:val="Balloon Text"/>
    <w:basedOn w:val="a"/>
    <w:link w:val="ab"/>
    <w:rsid w:val="00BB69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B6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yperlink" Target="https://ru.wikipedia.org/wiki/&#1040;&#1093;&#1080;&#1083;&#1083;&#1077;&#1089;_&#1080;_&#1095;&#1077;&#1088;&#1077;&#1087;&#1072;&#1093;&#1072;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&#1060;&#1077;&#1085;&#1086;&#1084;&#1077;&#1085;_&#1059;&#1080;&#1083;&#1083;&#1072;_&#1056;&#1086;&#1076;&#1078;&#1077;&#1088;&#1089;&#1072;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ru.wikipedia.org/wiki/&#1055;&#1072;&#1088;&#1072;&#1076;&#1086;&#1082;&#1089;_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&#1053;&#1086;&#1083;&#1100;_&#1074;_&#1085;&#1091;&#1083;&#1077;&#1074;&#1086;&#1081;_&#1089;&#1090;&#1077;&#1087;&#1077;&#1085;&#1080;" TargetMode="External"/><Relationship Id="rId20" Type="http://schemas.openxmlformats.org/officeDocument/2006/relationships/hyperlink" Target="https://ru.wikipedia.org/wiki/&#1047;&#1072;&#1076;&#1072;&#1095;&#1072;_&#1086;_18_&#1090;&#1086;&#1095;&#1082;&#1072;&#1093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ru.wikipedia.org/wiki/&#1044;&#1080;&#1093;&#1086;&#1090;&#1086;&#1084;&#1080;&#1103;_(&#1072;&#1087;&#1086;&#1088;&#1080;&#1103;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hyperlink" Target="https://ru.wikipedia.org/wiki/&#1055;&#1072;&#1088;&#1072;&#1076;&#1086;&#1082;&#1089;_&#1052;&#1086;&#1085;&#1090;&#1080;_&#1061;&#1086;&#1083;&#1083;&#1072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19</Pages>
  <Words>2917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Chooser</cp:lastModifiedBy>
  <cp:revision>29</cp:revision>
  <dcterms:created xsi:type="dcterms:W3CDTF">2021-03-24T13:54:00Z</dcterms:created>
  <dcterms:modified xsi:type="dcterms:W3CDTF">2021-10-26T18:39:00Z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1033-11.2.0.10093</vt:lpwstr>
  </property>
</Properties>
</file>