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60"/>
        <w:ind w:hanging="0" w:right="0"/>
        <w:jc w:val="center"/>
        <w:rPr>
          <w:rFonts w:eastAsia="Calibri" w:eastAsiaTheme="minorHAnsi"/>
          <w:b/>
          <w:color w:val="auto"/>
          <w:sz w:val="24"/>
          <w:szCs w:val="24"/>
          <w:lang w:eastAsia="en-US"/>
        </w:rPr>
      </w:pPr>
      <w:r>
        <w:rPr>
          <w:rFonts w:eastAsia="Calibri" w:eastAsiaTheme="minorHAnsi"/>
          <w:b/>
          <w:color w:val="auto"/>
          <w:sz w:val="24"/>
          <w:szCs w:val="24"/>
          <w:lang w:eastAsia="en-US"/>
        </w:rPr>
        <w:t>Развитие технико-тактической подготовленности футболистов 10-12 лет</w:t>
      </w:r>
    </w:p>
    <w:p>
      <w:pPr>
        <w:pStyle w:val="Normal"/>
        <w:spacing w:lineRule="auto" w:line="259" w:before="0" w:after="160"/>
        <w:ind w:hanging="0" w:right="0"/>
        <w:jc w:val="right"/>
        <w:rPr>
          <w:rFonts w:eastAsia="Calibri" w:eastAsiaTheme="minorHAnsi"/>
          <w:i/>
          <w:i/>
          <w:color w:val="auto"/>
          <w:sz w:val="24"/>
          <w:szCs w:val="24"/>
          <w:lang w:eastAsia="en-US"/>
        </w:rPr>
      </w:pPr>
      <w:r>
        <w:rPr>
          <w:rFonts w:eastAsia="Calibri" w:eastAsiaTheme="minorHAnsi"/>
          <w:i/>
          <w:color w:val="auto"/>
          <w:sz w:val="24"/>
          <w:szCs w:val="24"/>
          <w:lang w:eastAsia="en-US"/>
        </w:rPr>
        <w:t xml:space="preserve">Хакимов Т.Б., </w:t>
      </w:r>
    </w:p>
    <w:p>
      <w:pPr>
        <w:pStyle w:val="Normal"/>
        <w:spacing w:lineRule="auto" w:line="259" w:before="0" w:after="160"/>
        <w:ind w:hanging="0" w:right="0"/>
        <w:jc w:val="right"/>
        <w:rPr>
          <w:rFonts w:eastAsia="Calibri" w:eastAsiaTheme="minorHAnsi"/>
          <w:i/>
          <w:i/>
          <w:color w:val="auto"/>
          <w:sz w:val="24"/>
          <w:szCs w:val="24"/>
          <w:lang w:eastAsia="en-US"/>
        </w:rPr>
      </w:pPr>
      <w:r>
        <w:rPr>
          <w:rFonts w:eastAsia="Calibri" w:eastAsiaTheme="minorHAnsi"/>
          <w:i/>
          <w:color w:val="auto"/>
          <w:sz w:val="24"/>
          <w:szCs w:val="24"/>
          <w:lang w:eastAsia="en-US"/>
        </w:rPr>
        <w:t>Поволжская государственная академия физической культуры, спорта и туризма,</w:t>
      </w:r>
    </w:p>
    <w:p>
      <w:pPr>
        <w:pStyle w:val="Normal"/>
        <w:spacing w:lineRule="auto" w:line="259" w:before="0" w:after="160"/>
        <w:ind w:hanging="0" w:right="0"/>
        <w:jc w:val="right"/>
        <w:rPr>
          <w:rFonts w:eastAsia="Calibri" w:eastAsiaTheme="minorHAnsi"/>
          <w:i/>
          <w:i/>
          <w:color w:val="auto"/>
          <w:sz w:val="24"/>
          <w:szCs w:val="24"/>
          <w:lang w:eastAsia="en-US"/>
        </w:rPr>
      </w:pPr>
      <w:r>
        <w:rPr/>
      </w:r>
    </w:p>
    <w:p>
      <w:pPr>
        <w:pStyle w:val="Normal"/>
        <w:spacing w:lineRule="auto" w:line="240" w:before="0" w:after="0"/>
        <w:ind w:firstLine="709" w:right="0"/>
        <w:rPr>
          <w:sz w:val="24"/>
          <w:szCs w:val="24"/>
        </w:rPr>
      </w:pPr>
      <w:r>
        <w:rPr>
          <w:b/>
          <w:sz w:val="24"/>
          <w:szCs w:val="24"/>
        </w:rPr>
        <w:t xml:space="preserve">         </w:t>
      </w:r>
      <w:r>
        <w:rPr>
          <w:b/>
          <w:sz w:val="24"/>
          <w:szCs w:val="24"/>
        </w:rPr>
        <w:t>Актуальность</w:t>
      </w:r>
      <w:r>
        <w:rPr>
          <w:sz w:val="24"/>
          <w:szCs w:val="24"/>
        </w:rPr>
        <w:t xml:space="preserve"> исследования заключается в том, достижение высоких спортивных результатов в современном футболе невозможно без качественной подготовки футболистов. Успехи любой футбольной команды, в том числе и юношеской, определяются в основном технической и тактической подготовленностью. </w:t>
      </w:r>
    </w:p>
    <w:p>
      <w:pPr>
        <w:pStyle w:val="Normal"/>
        <w:spacing w:lineRule="auto" w:line="240" w:before="0" w:after="0"/>
        <w:ind w:firstLine="709" w:right="0"/>
        <w:rPr>
          <w:sz w:val="24"/>
          <w:szCs w:val="24"/>
        </w:rPr>
      </w:pPr>
      <w:r>
        <w:rPr>
          <w:sz w:val="24"/>
          <w:szCs w:val="24"/>
        </w:rPr>
        <w:t xml:space="preserve">         </w:t>
      </w:r>
      <w:r>
        <w:rPr>
          <w:sz w:val="24"/>
          <w:szCs w:val="24"/>
        </w:rPr>
        <w:t>Одной из причин такого положения специалисты считают отсутствие ярких, хорошо тактически и технически подготовленных молодых игроков, что косвенно отражает уровень подготовки спортивного резерва в современном российском футболе. Отмечаемое в последние 10-15 лет отставание российских футболистов в спортивном мастерстве от основных иностранных продолжает оставаться устойчивой направленностью, в связи с чем ощущается важность тактической подготовки как главного составляющего, лимитирующего конкурентоспособность российских спортсменов на международной арене [1,2].</w:t>
      </w:r>
    </w:p>
    <w:p>
      <w:pPr>
        <w:pStyle w:val="Normal"/>
        <w:spacing w:lineRule="auto" w:line="240" w:before="0" w:after="0"/>
        <w:ind w:firstLine="709" w:right="0"/>
        <w:rPr>
          <w:sz w:val="24"/>
          <w:szCs w:val="24"/>
        </w:rPr>
      </w:pPr>
      <w:r>
        <w:rPr>
          <w:sz w:val="24"/>
          <w:szCs w:val="24"/>
        </w:rPr>
        <w:t xml:space="preserve">Многие тренеры и специалисты по футболу отмечают недостаточно высокую подготовленность выпускников ДЮСШ и СДЮШОР по футболу, значительное отставание их технической оснащенности от требований современного футбола. Одной из причин этого служит недостаточная теоретическая и методическая разработанность вопросов технико-тактической подготовки футболистов. </w:t>
      </w:r>
    </w:p>
    <w:p>
      <w:pPr>
        <w:pStyle w:val="Normal"/>
        <w:spacing w:lineRule="auto" w:line="240" w:before="0" w:after="0"/>
        <w:ind w:firstLine="709" w:right="0"/>
        <w:rPr>
          <w:sz w:val="24"/>
          <w:szCs w:val="24"/>
        </w:rPr>
      </w:pPr>
      <w:r>
        <w:rPr>
          <w:b/>
          <w:sz w:val="24"/>
          <w:szCs w:val="24"/>
        </w:rPr>
        <w:t>Цель исследования:</w:t>
      </w:r>
      <w:r>
        <w:rPr>
          <w:sz w:val="24"/>
          <w:szCs w:val="24"/>
        </w:rPr>
        <w:t xml:space="preserve"> разработать, внедрить и экспериментально подтвердить эффективность разработанного комплекса упражнений, направленных на формирование технико-тактической подготовки футболистов 10-12 лет.</w:t>
      </w:r>
    </w:p>
    <w:p>
      <w:pPr>
        <w:pStyle w:val="Normal"/>
        <w:spacing w:lineRule="auto" w:line="240" w:before="0" w:after="0"/>
        <w:ind w:firstLine="709" w:right="0"/>
        <w:rPr>
          <w:sz w:val="24"/>
          <w:szCs w:val="24"/>
        </w:rPr>
      </w:pPr>
      <w:r>
        <w:rPr>
          <w:b/>
          <w:sz w:val="24"/>
          <w:szCs w:val="24"/>
        </w:rPr>
        <w:t>Результаты исследования и их обсуждение</w:t>
      </w:r>
      <w:r>
        <w:rPr>
          <w:sz w:val="24"/>
          <w:szCs w:val="24"/>
        </w:rPr>
        <w:t xml:space="preserve">. Исследования проводились в Центральном Манеже г. Казани. В эксперименте приняли участие 20 футболистов, которые поделили на экспериментальную и контрольную группы по 10 человек в каждой. </w:t>
      </w:r>
    </w:p>
    <w:p>
      <w:pPr>
        <w:pStyle w:val="Normal"/>
        <w:spacing w:lineRule="auto" w:line="240" w:before="0" w:after="0"/>
        <w:ind w:firstLine="709" w:right="0"/>
        <w:rPr>
          <w:sz w:val="24"/>
          <w:szCs w:val="24"/>
        </w:rPr>
      </w:pPr>
      <w:r>
        <w:rPr>
          <w:sz w:val="24"/>
          <w:szCs w:val="24"/>
        </w:rPr>
        <w:t xml:space="preserve">Продолжительность исследования составила 3 месяца. Контрольная группа занималась по программе спортивной школы. В экспериментальной группе, в сочетании с программой спортивной школы мы использовали разработанные нами комплексы упражнений. </w:t>
      </w:r>
    </w:p>
    <w:p>
      <w:pPr>
        <w:pStyle w:val="Normal"/>
        <w:spacing w:lineRule="auto" w:line="240" w:before="0" w:after="0"/>
        <w:ind w:firstLine="709" w:right="0"/>
        <w:rPr>
          <w:sz w:val="24"/>
          <w:szCs w:val="24"/>
        </w:rPr>
      </w:pPr>
      <w:r>
        <w:rPr>
          <w:sz w:val="24"/>
          <w:szCs w:val="24"/>
        </w:rPr>
        <w:t xml:space="preserve">Комплексы использовали 3 раза в неделю, в понедельник, среду и пятницу, в основной части, после разминки. Организованное нами исследование производилось в три этапа. </w:t>
      </w:r>
    </w:p>
    <w:p>
      <w:pPr>
        <w:pStyle w:val="Normal"/>
        <w:spacing w:lineRule="auto" w:line="240" w:before="0" w:after="0"/>
        <w:ind w:firstLine="709" w:right="0"/>
        <w:rPr>
          <w:sz w:val="24"/>
          <w:szCs w:val="24"/>
        </w:rPr>
      </w:pPr>
      <w:r>
        <w:rPr>
          <w:sz w:val="24"/>
          <w:szCs w:val="24"/>
        </w:rPr>
        <w:t xml:space="preserve">На первом этапе (сентябрь 2018 г. – октябрь 2018 г.) нами изучалась научно-методическая литература по данной проблеме, определялись объект и предмет исследования, выбор методов исследования. </w:t>
      </w:r>
    </w:p>
    <w:p>
      <w:pPr>
        <w:pStyle w:val="Normal"/>
        <w:spacing w:lineRule="auto" w:line="240" w:before="0" w:after="0"/>
        <w:ind w:firstLine="709" w:right="0"/>
        <w:rPr>
          <w:sz w:val="24"/>
          <w:szCs w:val="24"/>
        </w:rPr>
      </w:pPr>
      <w:r>
        <w:rPr>
          <w:sz w:val="24"/>
          <w:szCs w:val="24"/>
        </w:rPr>
        <w:t xml:space="preserve">На втором этапе (октябрь 2018 г.) был организован и проведен педагогический эксперимент. Предложенный комплекс упражнений был интегрирован в тренировочные микроциклы в интервалах между II и III кругами состязаний. В начале эксперимента объем нагрузок средней и высокой интенсивности составлял - 40%, в конце - 55%. Постепенный рост сложности тактических упражнений был обусловлен необходимостью их совершенствования в процессе подготовки. </w:t>
      </w:r>
    </w:p>
    <w:p>
      <w:pPr>
        <w:pStyle w:val="Normal"/>
        <w:spacing w:lineRule="auto" w:line="240" w:before="0" w:after="0"/>
        <w:ind w:firstLine="709" w:right="0"/>
        <w:rPr>
          <w:sz w:val="24"/>
          <w:szCs w:val="24"/>
        </w:rPr>
      </w:pPr>
      <w:r>
        <w:rPr>
          <w:sz w:val="24"/>
          <w:szCs w:val="24"/>
        </w:rPr>
        <w:t xml:space="preserve">На третьем этапе (март 2019 г.) после выполнения комплекса упражнений снова было проведено повторное исследование футболистов 10-12 лет. </w:t>
      </w:r>
    </w:p>
    <w:p>
      <w:pPr>
        <w:pStyle w:val="Normal"/>
        <w:spacing w:lineRule="auto" w:line="240" w:before="0" w:after="0"/>
        <w:ind w:firstLine="709" w:right="0"/>
        <w:rPr>
          <w:sz w:val="24"/>
          <w:szCs w:val="24"/>
        </w:rPr>
      </w:pPr>
      <w:r>
        <w:rPr>
          <w:sz w:val="24"/>
          <w:szCs w:val="24"/>
        </w:rPr>
        <w:t xml:space="preserve">Практическая часть была оценена во время календарных матчей. В экспериментальной группе возросло количество технико-тактических действий в процессе игры. Произошло увеличение процента передач мяча, перехватов мяча, передач мяча на ход, ведений мяча, ударов по воротам ногой. Данные приемы подтверждают факт того, что игроки экспериментальной группы не только стали лучше видеть поле и товарищей по команде, но и использовали попытки завершить атаку ударом по воротам. Количество потерь мяча снизилось до 10%. </w:t>
      </w:r>
    </w:p>
    <w:p>
      <w:pPr>
        <w:pStyle w:val="Normal"/>
        <w:spacing w:lineRule="auto" w:line="240" w:before="0" w:after="0"/>
        <w:ind w:firstLine="709" w:right="0"/>
        <w:rPr>
          <w:sz w:val="24"/>
          <w:szCs w:val="24"/>
        </w:rPr>
      </w:pPr>
      <w:r>
        <w:rPr>
          <w:sz w:val="24"/>
          <w:szCs w:val="24"/>
        </w:rPr>
        <w:t xml:space="preserve">В общем, при помощи экспериментальных комплексов упражнений были получены хорошие результаты, но существуют и некоторые отрицательные моменты. </w:t>
      </w:r>
    </w:p>
    <w:p>
      <w:pPr>
        <w:pStyle w:val="Normal"/>
        <w:spacing w:lineRule="auto" w:line="240" w:before="0" w:after="0"/>
        <w:ind w:firstLine="709" w:right="0"/>
        <w:rPr>
          <w:sz w:val="24"/>
          <w:szCs w:val="24"/>
        </w:rPr>
      </w:pPr>
      <w:r>
        <w:rPr>
          <w:sz w:val="24"/>
          <w:szCs w:val="24"/>
        </w:rPr>
        <w:t xml:space="preserve">Например, процент отбора мяча и обводки увеличился не значительно как в контрольной, так и в экспериментальной группе. </w:t>
      </w:r>
    </w:p>
    <w:p>
      <w:pPr>
        <w:pStyle w:val="Normal"/>
        <w:spacing w:lineRule="auto" w:line="240" w:before="0" w:after="0"/>
        <w:ind w:firstLine="709" w:right="0"/>
        <w:rPr>
          <w:b/>
          <w:sz w:val="24"/>
          <w:szCs w:val="24"/>
        </w:rPr>
      </w:pPr>
      <w:r>
        <w:rPr>
          <w:b/>
          <w:sz w:val="24"/>
          <w:szCs w:val="24"/>
        </w:rPr>
        <w:t>Заключение</w:t>
      </w:r>
    </w:p>
    <w:p>
      <w:pPr>
        <w:pStyle w:val="Normal"/>
        <w:spacing w:lineRule="auto" w:line="240" w:before="0" w:after="0"/>
        <w:ind w:firstLine="709" w:right="0"/>
        <w:rPr>
          <w:sz w:val="24"/>
          <w:szCs w:val="24"/>
        </w:rPr>
      </w:pPr>
      <w:r>
        <w:rPr>
          <w:sz w:val="24"/>
          <w:szCs w:val="24"/>
        </w:rPr>
        <w:t xml:space="preserve">Анализ литературных источников показал, что постоянная игра в </w:t>
      </w:r>
    </w:p>
    <w:p>
      <w:pPr>
        <w:pStyle w:val="Normal"/>
        <w:spacing w:lineRule="auto" w:line="240" w:before="0" w:after="0"/>
        <w:ind w:firstLine="709" w:right="0"/>
        <w:rPr>
          <w:sz w:val="24"/>
          <w:szCs w:val="24"/>
        </w:rPr>
      </w:pPr>
      <w:r>
        <w:rPr>
          <w:sz w:val="24"/>
          <w:szCs w:val="24"/>
        </w:rPr>
        <w:t xml:space="preserve">футбол с индивидуализацией тренировочного процесса приводит к повышению уровня всех двигательных навыков юных футболистов 10-12 лет. Развитие навыков и умений игры в футбол в течение длительного учебно-тренировочного процесса сочетается с уменьшением влияния морфофункциональных особенностей на эффективность игровой деятельности.  </w:t>
      </w:r>
    </w:p>
    <w:p>
      <w:pPr>
        <w:pStyle w:val="Normal"/>
        <w:spacing w:lineRule="auto" w:line="240" w:before="0" w:after="0"/>
        <w:ind w:firstLine="709" w:right="0"/>
        <w:rPr>
          <w:sz w:val="24"/>
          <w:szCs w:val="24"/>
        </w:rPr>
      </w:pPr>
      <w:r>
        <w:rPr>
          <w:sz w:val="24"/>
          <w:szCs w:val="24"/>
        </w:rPr>
        <w:t>Разработали и внедрили комплексы упражнений, направленных на развитие технико-тактических действий у футболистов 10-12 лет. В целом, в ходе внедрения экспериментальной методики были продемонстрированы хорошие результаты.</w:t>
      </w:r>
    </w:p>
    <w:p>
      <w:pPr>
        <w:pStyle w:val="Normal"/>
        <w:spacing w:lineRule="auto" w:line="240" w:before="0" w:after="0"/>
        <w:ind w:firstLine="709" w:right="0"/>
        <w:rPr>
          <w:b/>
          <w:sz w:val="24"/>
          <w:szCs w:val="24"/>
        </w:rPr>
      </w:pPr>
      <w:r>
        <w:rPr>
          <w:b/>
          <w:sz w:val="24"/>
          <w:szCs w:val="24"/>
        </w:rPr>
      </w:r>
    </w:p>
    <w:p>
      <w:pPr>
        <w:pStyle w:val="Normal"/>
        <w:spacing w:lineRule="auto" w:line="240" w:before="0" w:after="0"/>
        <w:ind w:firstLine="709" w:right="0"/>
        <w:rPr>
          <w:b/>
          <w:sz w:val="24"/>
          <w:szCs w:val="24"/>
        </w:rPr>
      </w:pPr>
      <w:r>
        <w:rPr>
          <w:b/>
          <w:sz w:val="24"/>
          <w:szCs w:val="24"/>
        </w:rPr>
        <w:t>Список литературы</w:t>
      </w:r>
    </w:p>
    <w:p>
      <w:pPr>
        <w:pStyle w:val="Normal"/>
        <w:numPr>
          <w:ilvl w:val="0"/>
          <w:numId w:val="1"/>
        </w:numPr>
        <w:spacing w:lineRule="auto" w:line="240" w:before="0" w:after="0"/>
        <w:ind w:firstLine="709" w:right="0"/>
        <w:rPr>
          <w:sz w:val="24"/>
          <w:szCs w:val="24"/>
        </w:rPr>
      </w:pPr>
      <w:r>
        <w:rPr>
          <w:sz w:val="24"/>
          <w:szCs w:val="24"/>
        </w:rPr>
        <w:t xml:space="preserve">Годик, М.А. Физическая подготовка футболистов: Учебное пособие для студентов / М.А. Годик. – М.: Олимпия, 2016. – 221с. </w:t>
      </w:r>
    </w:p>
    <w:p>
      <w:pPr>
        <w:pStyle w:val="Normal"/>
        <w:numPr>
          <w:ilvl w:val="0"/>
          <w:numId w:val="1"/>
        </w:numPr>
        <w:spacing w:lineRule="auto" w:line="240" w:before="0" w:after="0"/>
        <w:ind w:firstLine="709" w:right="0"/>
        <w:rPr>
          <w:sz w:val="24"/>
          <w:szCs w:val="24"/>
        </w:rPr>
      </w:pPr>
      <w:r>
        <w:rPr>
          <w:sz w:val="24"/>
          <w:szCs w:val="24"/>
        </w:rPr>
        <w:t xml:space="preserve">Лобановский В.В., Разумовский Е.А. Технико-тактические действия футболистов // Футбол: Ежегодник / Сост. В.П.Климин, С.А.Савин. Редкол.: К.И.Бесков и др. - М.: Физкультура и спорт, 2007.С. 23. </w:t>
      </w:r>
    </w:p>
    <w:p>
      <w:pPr>
        <w:pStyle w:val="Normal"/>
        <w:numPr>
          <w:ilvl w:val="0"/>
          <w:numId w:val="1"/>
        </w:numPr>
        <w:spacing w:lineRule="auto" w:line="240" w:before="0" w:after="0"/>
        <w:ind w:firstLine="709" w:right="0"/>
        <w:rPr>
          <w:sz w:val="24"/>
          <w:szCs w:val="24"/>
        </w:rPr>
      </w:pPr>
      <w:r>
        <w:rPr>
          <w:sz w:val="24"/>
          <w:szCs w:val="24"/>
        </w:rPr>
        <w:t>Поканинов А.В., Поканинов В.Б. Особенности обучения технике двигательных действий у футболистов 8-10 лет. в сборнике: Проблемы и перспективы физического воспитания, спортивной тренировки и адаптивной физической культуры материалы Всероссийской с международным участием научно-практической конференции. ФГБОУ ВО «Поволжская государственная академия физической культуры, спорта и туризма». 2018. С. 337-34</w:t>
      </w:r>
    </w:p>
    <w:p>
      <w:pPr>
        <w:pStyle w:val="Normal"/>
        <w:widowControl/>
        <w:bidi w:val="0"/>
        <w:spacing w:lineRule="auto" w:line="384" w:before="0" w:after="15"/>
        <w:ind w:firstLine="698" w:right="75"/>
        <w:jc w:val="both"/>
        <w:rPr/>
      </w:pPr>
      <w:r>
        <w:rPr/>
      </w:r>
      <w:bookmarkStart w:id="0" w:name="_GoBack"/>
      <w:bookmarkStart w:id="1" w:name="_GoBack"/>
      <w:bookmarkEnd w:id="1"/>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2b83"/>
    <w:pPr>
      <w:widowControl/>
      <w:bidi w:val="0"/>
      <w:spacing w:lineRule="auto" w:line="384" w:before="0" w:after="15"/>
      <w:ind w:firstLine="698" w:right="75"/>
      <w:jc w:val="both"/>
    </w:pPr>
    <w:rPr>
      <w:rFonts w:ascii="Times New Roman" w:hAnsi="Times New Roman" w:eastAsia="Times New Roman" w:cs="Times New Roman"/>
      <w:color w:val="000000"/>
      <w:kern w:val="0"/>
      <w:sz w:val="28"/>
      <w:szCs w:val="22"/>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LibreOffice/7.6.7.2$Linux_X86_64 LibreOffice_project/60$Build-2</Application>
  <AppVersion>15.0000</AppVersion>
  <Pages>2</Pages>
  <Words>617</Words>
  <Characters>4492</Characters>
  <CharactersWithSpaces>5120</CharactersWithSpaces>
  <Paragraphs>24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2020-03-07T00:01:00Z</dcterms:created>
  <dc:creator>1</dc:creator>
  <dc:description/>
  <dc:language>ru-RU</dc:language>
  <cp:lastModifiedBy/>
  <dcterms:modified xsi:type="dcterms:W3CDTF">2024-10-28T10:19:20Z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