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  <w:t xml:space="preserve">“Особенности развития познавательных интересов в младшем школьном возрасте” </w:t>
      </w:r>
    </w:p>
    <w:p w:rsidR="00000000" w:rsidDel="00000000" w:rsidP="00000000" w:rsidRDefault="00000000" w:rsidRPr="00000000" w14:paraId="00000002">
      <w:pPr>
        <w:spacing w:after="24" w:line="259" w:lineRule="auto"/>
        <w:ind w:right="5"/>
        <w:jc w:val="left"/>
        <w:rPr/>
      </w:pPr>
      <w:r w:rsidDel="00000000" w:rsidR="00000000" w:rsidRPr="00000000">
        <w:rPr>
          <w:rtl w:val="0"/>
        </w:rPr>
        <w:t xml:space="preserve">Киц Александра Александровна студентка </w:t>
      </w:r>
    </w:p>
    <w:p w:rsidR="00000000" w:rsidDel="00000000" w:rsidP="00000000" w:rsidRDefault="00000000" w:rsidRPr="00000000" w14:paraId="0000000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4 курса Ставропольского государственного педагогического института.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highlight w:val="white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Младший школьный возраст (6-10 лет) – период бурного развития познавательной сферы ребенка. Познавательные интересы, выступающие мощным двигателем обучения и развития, претерпевают в этот период значительные изменения, приобретая новые качества и особенности.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От спонтанного любопытства к целенаправленному исследованию: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</w:t>
      </w:r>
      <w:r w:rsidDel="00000000" w:rsidR="00000000" w:rsidRPr="00000000">
        <w:rPr>
          <w:rtl w:val="0"/>
        </w:rPr>
        <w:t xml:space="preserve">В отличие от дошкольного возраста, где познавательная активность носит преимущественно спонтанный, игровой характер, младший школьник начинает проявлять целенаправленное стремление к получению знаний. Любопытство трансформируется в устойчивый познавательный интерес, связанный с освоением школьной программы и расширением кругозора. Ребенок уже не просто наблюдает, а пытается понять причины и следствия явлений, устанавливает связи между фактами.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b w:val="1"/>
          <w:rtl w:val="0"/>
        </w:rPr>
        <w:t xml:space="preserve">Роль учебной деятельности: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Школа играет ключевую роль в формировании и развитии познавательных интересов младшего школьника. Успешное освоение учебного материала, поощрение со стороны учителя и родителей, интересные методы преподавания – все это способствует формированию положительного отношения к учебе и развитию познавательной активности. Наоборот, неуспеваемость, негативное отношение к школе, скучные уроки могут привести к снижению познавательного интереса и развитию школьной дезадаптации.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Особенности познавательных интересов: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Широта и недифференцированность: В начале младшего школьного возраста познавательные интересы ребенка достаточно широки и недифференцированы. Его привлекает все новое и необычное, независимо от предметной области. С возрастом интересы начинают сужаться и углубляться, формируются предпочтения к определенным предметам и видам деятельности.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Наглядность и конкретность: Познавательные процессы младшего школьника тесно связаны с наглядным восприятием. Абстрактные понятия и сложные логические построения ему пока недоступны. Поэтому для развития познавательных интересов важно использовать наглядные пособия, эксперименты, практические задания.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  Эмоциональность: Познавательные интересы младшего школьника тесно связаны с эмоциями. Он с большим удовольствием изучает то, что вызывает у него положительные эмоции – удивление, радость, интерес. Поэтому важно сделать процесс обучения эмоционально насыщенным и привлекательным.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Ситуативность: Познавательные интересы младшего школьника часто носят ситуативный характер. Его может заинтересовать какая-либо тема, но этот интерес может быстро угаснуть, если не будет поддерживаться новыми впечатлениями и информацией.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       Подражание: Младшие школьники склонны подражать взрослым и сверстникам. Интерес к определенной области знаний может возникнуть под влиянием авторитетных для ребенка людей – родителей, учителей, героев книг и фильмов.</w:t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Стимулирование развития познавательных интересов: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    Для эффективного развития познавательных интересов младших школьников необходимо: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Создавать благоприятную эмоциональную атмосферу в семье и школе.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Использовать разнообразные методы обучения, делая процесс познания увлекательным и интересным.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Поддерживать инициативу и самостоятельность ребенка в выборе видов деятельности.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Организовывать внеклассную работу, расширяющую кругозор ребенка и удовлетворяющую его познавательные потребности.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Развивать критическое мышление и умение самостоятельно добывать информацию.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В заключение, развитие познавательных интересов в младшем школьном возрасте – сложный и многогранный процесс, требующий внимания и сотрудничества со стороны семьи, школы и самого ребенка. Поддержка и стимулирование познавательной активности в этот период закладывают фундамент для успешного обучения и личностного развития в будущем.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59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Выготский, Л.С. Собрание сочинений: в 6 т. – М.: Педагогика, 2012.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59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Эльконин, Д.Б. Избранные психологические труды. – М.: Педагогика, 2000. (Теория развивающего обучения, стадийность развития)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59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Давыдов, В.В. Проблемы развивающего обучения. – М.: Педагогика, 2015. (Теория развивающего обучения, роль учебной деятельности)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59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Рубинштейн, С.Л. Основы общей психологии. – СПб.: Питер, 2000. (Общая теория личности и деятельности)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59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Мухина, В.С. Детская психология: феноменологический подход. – М.: Академия, 2013. (Обзор возрастных особенностей)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221" w:top="1192" w:left="1702" w:right="84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highlight w:val="white"/>
        <w:lang w:val="ru-RU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718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