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E0" w:rsidRPr="00F41C12" w:rsidRDefault="00000CCD" w:rsidP="00953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E54AE0" w:rsidRPr="00F41C1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54AE0" w:rsidRPr="00F41C12">
        <w:rPr>
          <w:rFonts w:ascii="Times New Roman" w:hAnsi="Times New Roman" w:cs="Times New Roman"/>
          <w:b/>
          <w:sz w:val="24"/>
          <w:szCs w:val="24"/>
        </w:rPr>
        <w:t>Метапредметный</w:t>
      </w:r>
      <w:proofErr w:type="spellEnd"/>
      <w:r w:rsidR="00E54AE0" w:rsidRPr="00F41C12">
        <w:rPr>
          <w:rFonts w:ascii="Times New Roman" w:hAnsi="Times New Roman" w:cs="Times New Roman"/>
          <w:b/>
          <w:sz w:val="24"/>
          <w:szCs w:val="24"/>
        </w:rPr>
        <w:t xml:space="preserve"> подход в преподавании истории».  </w:t>
      </w:r>
      <w:r w:rsidRPr="00F41C1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5395A" w:rsidRPr="00F41C1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41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CCD" w:rsidRPr="00D27AD8" w:rsidRDefault="00E54AE0" w:rsidP="0095395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D27AD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000CCD"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00CCD" w:rsidRPr="00D27AD8">
        <w:rPr>
          <w:rFonts w:ascii="Times New Roman" w:hAnsi="Times New Roman" w:cs="Times New Roman"/>
          <w:b/>
          <w:i/>
          <w:sz w:val="24"/>
          <w:szCs w:val="24"/>
        </w:rPr>
        <w:t>Паврозник</w:t>
      </w:r>
      <w:proofErr w:type="spellEnd"/>
      <w:r w:rsidR="00000CCD"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Н</w:t>
      </w:r>
      <w:r w:rsidR="00235D11" w:rsidRPr="00D27AD8">
        <w:rPr>
          <w:rFonts w:ascii="Times New Roman" w:hAnsi="Times New Roman" w:cs="Times New Roman"/>
          <w:b/>
          <w:i/>
          <w:sz w:val="24"/>
          <w:szCs w:val="24"/>
        </w:rPr>
        <w:t>аталья Григорьевна</w:t>
      </w:r>
      <w:r w:rsidR="00000CCD"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5395A"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000CCD"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МБОУ «Лицей №112» г. Барнаул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D27AD8">
        <w:rPr>
          <w:rFonts w:ascii="Times New Roman" w:hAnsi="Times New Roman" w:cs="Times New Roman"/>
          <w:sz w:val="24"/>
          <w:szCs w:val="24"/>
          <w:lang w:eastAsia="ru-RU"/>
        </w:rPr>
        <w:t>Важнейшей задачей ФГОС является формирование универсальных (</w:t>
      </w:r>
      <w:proofErr w:type="spellStart"/>
      <w:r w:rsidRPr="00D27AD8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27AD8">
        <w:rPr>
          <w:rFonts w:ascii="Times New Roman" w:hAnsi="Times New Roman" w:cs="Times New Roman"/>
          <w:sz w:val="24"/>
          <w:szCs w:val="24"/>
          <w:lang w:eastAsia="ru-RU"/>
        </w:rPr>
        <w:t>) учебных действий (УУД), обеспечивающих школьникам умение учиться, способность к самостоятельной работе, а, следовательно, способность к саморазвитию и самосовершенствованию. В настоящее время необходимыми становятся не сами знания, а знание о том, где и</w:t>
      </w:r>
      <w:r w:rsidRPr="00D27A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их применять. Но еще важнее – знание о том, как эту информацию добывать, интегрировать или создавать.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  <w:lang w:eastAsia="ru-RU"/>
        </w:rPr>
        <w:t xml:space="preserve">  Универсальные учебные действия тесно связаны с достижением </w:t>
      </w:r>
      <w:proofErr w:type="spellStart"/>
      <w:r w:rsidRPr="00D27AD8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27AD8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результатов, то есть таких способов действия, когда учащиеся могут принимать решения не только в рамках заданного учебного процесса, но и в различных жизненных ситуациях. Это очень важно сегодня, когда от выпускника школы требуются мобильность, </w:t>
      </w:r>
      <w:proofErr w:type="spellStart"/>
      <w:r w:rsidRPr="00D27AD8">
        <w:rPr>
          <w:rFonts w:ascii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D27AD8">
        <w:rPr>
          <w:rFonts w:ascii="Times New Roman" w:hAnsi="Times New Roman" w:cs="Times New Roman"/>
          <w:sz w:val="24"/>
          <w:szCs w:val="24"/>
          <w:lang w:eastAsia="ru-RU"/>
        </w:rPr>
        <w:t>, способность применять свои знания на практике, умение мыслить нестандартно. Все это вынуждает учителя уходить от привычной структуры урока, традиционных педагогических технологий.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  В основе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лежит специальная деятельность по построению учебного познания – исследовательская, эвристическая, проектная, коммуникативно-диалоговая, дискуссионная, игровая. Суть деятельности заключается в том, что усвоение любого материала (понятия, способа действия и т.п.) происходит в процессе решения практической или исследовательской задачи, познавательной проблемной ситуации.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  В своей работе я использую разнообразные формы деятельности, но наибольший интерес у учащихся вызывают игровые. В старших классах я провела ролевую игру с элементами ретроспективности по теме «Образование политических партий в России в конце XIX - начале XX в, а также урок - деловую игру: заседание редакции газеты по подготовке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спецвыпуска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«К 90-летию завершения Гражданской войны в России».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    Еще одним методом организации учебной деятельности учащихся, вызвавшим их неподдельный интерес, является мозговой штурм. Очень активно ведут себя учащиеся при проведении мозгового штурма по теме «Глобальные проблемы и Россия» и «Черты постиндустриального общества в России».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Еще одна способ </w:t>
      </w:r>
      <w:r w:rsidRPr="00D27AD8">
        <w:rPr>
          <w:rFonts w:ascii="Times New Roman" w:hAnsi="Times New Roman" w:cs="Times New Roman"/>
          <w:sz w:val="24"/>
          <w:szCs w:val="24"/>
          <w:lang w:eastAsia="ru-RU"/>
        </w:rPr>
        <w:t>формирования универсальных (</w:t>
      </w:r>
      <w:proofErr w:type="spellStart"/>
      <w:r w:rsidRPr="00D27AD8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27AD8">
        <w:rPr>
          <w:rFonts w:ascii="Times New Roman" w:hAnsi="Times New Roman" w:cs="Times New Roman"/>
          <w:sz w:val="24"/>
          <w:szCs w:val="24"/>
          <w:lang w:eastAsia="ru-RU"/>
        </w:rPr>
        <w:t>) учебных действий (УУД)</w:t>
      </w:r>
      <w:r w:rsidRPr="00D27AD8">
        <w:rPr>
          <w:rFonts w:ascii="Times New Roman" w:hAnsi="Times New Roman" w:cs="Times New Roman"/>
          <w:sz w:val="24"/>
          <w:szCs w:val="24"/>
        </w:rPr>
        <w:t xml:space="preserve"> - разбор документов. Эта форма используется для анализа заранее скомплектованного пакета документов, куда могут входить воспоминания о данном событии, хронологическая таблица, указы, распоряжения, графики, схемы, статьи, исторические источники. Так, при изучении темы «Идеология и культура в СССР в 1945 - 1953» в пакет документов были включены: воспоминания Г. Вишневской, отрывок из выступления Ландау, отрывок из выступления</w:t>
      </w:r>
      <w:r w:rsidR="0095395A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 xml:space="preserve"> А.А. Жданова о журналах «Звезда» и «Ленинград», а также постановления ЦК ВК</w:t>
      </w:r>
      <w:proofErr w:type="gramStart"/>
      <w:r w:rsidRPr="00D27AD8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>б) по этим журналам. Когда пакет документов готов, возникает необходимость в подготовке учащихся к работе над документами. Для этого первоначально необходимо определить группы и оговорить последовательность действий при разборе документов, регламент каждого действия (при этом можно дать план работы в готовом виде или составить его совместно с классом). Последовательность действий и регламент каждого действия фиксируются на доске для удобства учащихся. Группы организуют разбор документов и выработку единого мнения. Итог разбора документов представляется в виде схемы, таблицы, плана, сочинения группы и т.д. (пакет документов одинаков для всех групп).</w:t>
      </w:r>
    </w:p>
    <w:p w:rsidR="0095395A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Работа с различными текстами развивает способность самостоятельно искать, анализировать</w:t>
      </w:r>
      <w:r w:rsidR="0095395A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 xml:space="preserve"> и отбирать необходимую информацию, организовывать, преобразовывать, сохранять и передавать её.</w:t>
      </w:r>
    </w:p>
    <w:p w:rsidR="0095395A" w:rsidRPr="00D27AD8" w:rsidRDefault="0095395A" w:rsidP="0095395A">
      <w:pPr>
        <w:rPr>
          <w:rFonts w:ascii="Times New Roman" w:hAnsi="Times New Roman" w:cs="Times New Roman"/>
          <w:lang w:eastAsia="en-US"/>
        </w:rPr>
      </w:pPr>
      <w:r w:rsidRPr="00D27AD8">
        <w:rPr>
          <w:rFonts w:ascii="Times New Roman" w:hAnsi="Times New Roman" w:cs="Times New Roman"/>
        </w:rPr>
        <w:t>Вместе с тем анализ результатов выполнения лицеистами заданий, связанных с работой с текстами, показал, какие из наиболее типичных универсальных учебных умений у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27A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 xml:space="preserve"> либо не сформированы, либо сформированы на низком уровне.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Так, например: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lastRenderedPageBreak/>
        <w:t>Ученики недостаточно владеют различными способами чтения: просмотровым (ознакомительным), поисковым, регрессивным, прицельным (с ориентацией на отбор информации);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Учащиеся затрудняются при работе с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несплошными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(составными) текстами, включающими различного рода «вставки»;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Школьникам сложно дать ответ в развернутой письменной форме, выявить авторскую позицию, сформулировать и аргументировать собственную;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Учащиеся не умеют удерживать в памяти информационные фрагменты и соединять их в общую информационную картину текста;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Ученики невнимательны к деталям, порой весьма значительным.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Определяя условия, которые могли бы способствовать формированию информационной компетенц</w:t>
      </w:r>
      <w:proofErr w:type="gramStart"/>
      <w:r w:rsidRPr="00D27AD8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 xml:space="preserve">чащихся, нужно обратить внимание на важную роль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личностно-деятельностного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подхода к образованию, который проявляется и проверяется только в процессе выполнения определенным образом составленного комплекса действий. А учебный материал по истории рассматривается как база для формирования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умений и навыков: выделять проблему, ставить задачу, намечать план её решения, реализовывать план, анализировать полученные значения. Одним из способов формирования выше названных навыков является решение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компетентностн</w:t>
      </w:r>
      <w:proofErr w:type="gramStart"/>
      <w:r w:rsidRPr="00D27AD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 xml:space="preserve"> ориентированных задач, которые составляются на основе текстов исторических источников.</w:t>
      </w:r>
    </w:p>
    <w:p w:rsidR="00000CCD" w:rsidRPr="00D27AD8" w:rsidRDefault="002E7735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  </w:t>
      </w:r>
      <w:r w:rsidR="00000CCD" w:rsidRPr="00D27AD8">
        <w:rPr>
          <w:rFonts w:ascii="Times New Roman" w:hAnsi="Times New Roman" w:cs="Times New Roman"/>
          <w:sz w:val="24"/>
          <w:szCs w:val="24"/>
        </w:rPr>
        <w:t>Примером использования такого способа является решение задачи «Петр I в Кенигсберге» при изучении темы «Россия в первой четверти X</w:t>
      </w:r>
      <w:r w:rsidR="00000CCD" w:rsidRPr="00D27AD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00CCD" w:rsidRPr="00D27AD8">
        <w:rPr>
          <w:rFonts w:ascii="Times New Roman" w:hAnsi="Times New Roman" w:cs="Times New Roman"/>
          <w:sz w:val="24"/>
          <w:szCs w:val="24"/>
        </w:rPr>
        <w:t>III века».</w:t>
      </w:r>
    </w:p>
    <w:p w:rsidR="002E7735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Данная задача относится к типу </w:t>
      </w:r>
      <w:proofErr w:type="gramStart"/>
      <w:r w:rsidRPr="00D27AD8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 xml:space="preserve">. Для таких задач характерна поисковая стратегия чтения. Главные умения, требующиеся при её решении - формулировать запрос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для получения информации, ориентироваться в структуре разного рода текстов.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Перед началом работы с историческим источником необходимо напомнить учащимся об обстоятельствах его возникновения.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- Во время Великого посольства, путешествуя по Европе, Петр I в Пруссии заехал в Кенигсберг. Во время осмотра, он познакомился с руководителем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артилерийско-фортификационной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службы полковником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Штернфельдом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и договорился с ним о тренировках в стрельбе из артиллерийских орудий.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На следующем этапе урока учащиеся читают текст и выполняют задания.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Аттестат Петра I о прохождении курса артиллерийских наук в Кенигсберге</w:t>
      </w:r>
    </w:p>
    <w:p w:rsidR="002E7735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AD8">
        <w:rPr>
          <w:rFonts w:ascii="Times New Roman" w:hAnsi="Times New Roman" w:cs="Times New Roman"/>
          <w:sz w:val="24"/>
          <w:szCs w:val="24"/>
        </w:rPr>
        <w:t xml:space="preserve">Я, Генрих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Штейнер-фон-Штернфельд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... над главною и полевою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артиллерею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полковник, над всеми крепостями Прусского княжества верховный инженер, свидетельствую, что предъявитель сего московский кавалер, именем господин Петр Михайлов, в минувшем году был здесь, в Кенигсберге,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благоизволил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дать мне знать, что желает он изучать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 xml:space="preserve"> огнестрельное искусство, в особенности метание бомб и гранат под моим руководством и наставлением. Я тем охотнее согласился удовлетворить его желание, что видел в нем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высокопохвальное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рвение к столь необходимому искусству, и при первом разговоре с немалым удивлением заметил, какая понятливая особа ищет моего содействия. Начало предвещало доброе исполнение, и я тем ревностнее, без потери времени, как здесь, в Кенигсберге, так и в приморской крепости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Пиллау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, ежедневно господина Петра Михайлова не только в теории науки, но и в практике частыми работами собственных рук его обучал и упражнял; в том и другом случае в непродолжительное время, к общему изумлению, он такие оказал успехи и такие приобрел сведения, что везде за исправного, осторожного,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благоискусного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>, мужественного и бесстрашного огнестрельного мастера и художника признаваем и почитаем, быть может. В чем сим свидетельством явственно и непреложно удостоверяю. &lt;...&gt; Дано в Кенигсберге, 2 сентября 1698 г.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1. Выберите правильный ответ и укажите его номер.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Великое московское посольство прибыло в Пруссию: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lastRenderedPageBreak/>
        <w:t>1. в 1689 году 2. в 1690 году 3. в 1697 году.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2. Назовите современные названия городов Пруссии, которые упоминаются в тексте: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Кенигсберг </w:t>
      </w:r>
      <w:r w:rsidRPr="00D27AD8">
        <w:rPr>
          <w:rFonts w:ascii="Times New Roman" w:hAnsi="Times New Roman" w:cs="Times New Roman"/>
          <w:sz w:val="24"/>
          <w:szCs w:val="24"/>
        </w:rPr>
        <w:tab/>
        <w:t xml:space="preserve">,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Пиллау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ab/>
        <w:t>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3. Объясните, почему в тексте Петр I назван Петром Михайловым?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4. Как относился, судя по тексту документа, к своему ученику прусский полковник? Приведите цитаты из текста, подтверждающие ваше мнение.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5. Каким учеником был Петр I? Приведите цитаты из текста, подтверждающие ваше мнение.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Задание 6. Объясните, как вы понимаете приведенное в тексте выражение: «исправный, осторожный,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благоискусный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>, мужественный и бесстрашный мастер и художник»?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7. Что нового об интересах, образе жизни Петра I вы узнали из текста документа?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После завершения работы над заданиями и проверки результатов наступает один из самых ответственных и значимых этапов работы - детальный анализ правильных и, главное ошибочных ответов.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Для обсуждения предлагаются вопросы:</w:t>
      </w:r>
      <w:r w:rsidR="0095395A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>На какие задания даны верные ответы и почему?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Что сделано неверно и почему?</w:t>
      </w:r>
      <w:r w:rsidR="0095395A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>Почему не удалось обнаружить необходимую информацию?</w:t>
      </w:r>
      <w:r w:rsidR="0095395A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>Почему выстроили неверное умозаключение?</w:t>
      </w:r>
      <w:r w:rsidR="0095395A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 xml:space="preserve">На что </w:t>
      </w:r>
      <w:proofErr w:type="gramStart"/>
      <w:r w:rsidRPr="00D27AD8">
        <w:rPr>
          <w:rFonts w:ascii="Times New Roman" w:hAnsi="Times New Roman" w:cs="Times New Roman"/>
          <w:sz w:val="24"/>
          <w:szCs w:val="24"/>
        </w:rPr>
        <w:t>не обратили внимание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 xml:space="preserve"> при чтении?</w:t>
      </w:r>
    </w:p>
    <w:p w:rsidR="002E7735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В</w:t>
      </w:r>
      <w:r w:rsidRPr="00D27AD8">
        <w:rPr>
          <w:rFonts w:ascii="Times New Roman" w:hAnsi="Times New Roman" w:cs="Times New Roman"/>
          <w:sz w:val="24"/>
          <w:szCs w:val="24"/>
        </w:rPr>
        <w:tab/>
        <w:t xml:space="preserve">ходе обсуждения учитель руководствуется комментариями к оцениванию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результатов в баллах.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1. Деятельность: аналитический выбор информации.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Ответ 3-1 балл; все другие ответы - 0 баллов.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2. Деятельность: работа с дополнительной информацией.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Кенигсберг - Калининград;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Пиллау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- Балтийск.</w:t>
      </w:r>
    </w:p>
    <w:p w:rsidR="002E7735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Верный ответ - 2 балла; верный ответ по одному названию - 1 балл; неверный ответ </w:t>
      </w:r>
      <w:r w:rsidR="002E7735" w:rsidRPr="00D27AD8">
        <w:rPr>
          <w:rFonts w:ascii="Times New Roman" w:hAnsi="Times New Roman" w:cs="Times New Roman"/>
          <w:sz w:val="24"/>
          <w:szCs w:val="24"/>
        </w:rPr>
        <w:t>–</w:t>
      </w:r>
      <w:r w:rsidRPr="00D27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0 баллов.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3. Деятельность: привлечение дополнительных знаний, аргументация.</w:t>
      </w:r>
    </w:p>
    <w:p w:rsidR="002E7735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Верный ответ: Петр Михайлов - это псевдоним Петра I, т.к. в Великое посольство он отправился инкогнито. - 2 балла; 1 балл - дан верный по смыслу, но неточный ответ; 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неверный ответ - 0 баллов.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4. Деятельность: поисковое регрессивное чтение, отбор необходимой информации.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Верный ответ: полковник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Штернфельд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относился к Петру с уважением и с симпатией: он пишет, что видел в своем ученике «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высокопохвальное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рвение», называет его понятливым; указывает, что он охотно согласился обучать Петра Михайловича; - 2 балла; дан верный</w:t>
      </w:r>
      <w:r w:rsidR="006300DE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 xml:space="preserve"> ответ по смыслу, но неточный ответ - 1 балл; неверный ответ - 0 баллов.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5. Деятельность: поисковое регрессивное чтение, отбор необходимой информации, аргументация.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Верный ответ: способный, трудолюбивый, любознательный. Это подтверждают слова из документа: «ежедневно господин Петр Михайлов не только в теории науки, но и в практике ... упражнялся», «в непродолжительное время, к общему изумлению» Петр показал большие успехи, получил обширные знания. - 2 балла; верный по смыслу, но неточный ответ -1 балл; неверный ответ - 0 баллов.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6. Деятельность: рефлексия на содержание, аргументация, привлечение дополнительных знаний и личного опыта.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Верный ответ: может быть приведено следующее толкование: умелый, аккуратный, точно выполняющий все правила; достигший в своем деле высшего мастерства; мастер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высшего уровня, профессионал - 2 балла; дан верный по смыслу, но неточный ответ - 1 балл; неверный ответ - 0 баллов.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Задание 7. Деятельность: поисковое регрессивное чтение, отбор необходимой информации, сопоставление информации.</w:t>
      </w:r>
    </w:p>
    <w:p w:rsidR="002E7735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lastRenderedPageBreak/>
        <w:t>Верный ответ: могут быть приведены следующие суждения: Петр I много времени уделял обучению военному искусству; это было ему интереснее, чем остальные занятия, был очень настойчивым, трудолюбивым, любознательным; стремился все уметь и делать сам; вел себя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 не как царь, а как простой ученик - 2 балла; дан верный по смыслу, но неточный ответ - 1 балл; неверный ответ - 0 баллов.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Пользуясь предложенной ниже шкалой, можно определить примерный уровень грамотности чтения.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90"/>
        <w:gridCol w:w="3081"/>
        <w:gridCol w:w="3099"/>
      </w:tblGrid>
      <w:tr w:rsidR="00000CCD" w:rsidRPr="00D27AD8" w:rsidTr="006300DE">
        <w:trPr>
          <w:trHeight w:hRule="exact" w:val="274"/>
          <w:jc w:val="center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CCD" w:rsidRPr="00D27AD8" w:rsidRDefault="00000CCD" w:rsidP="00953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8">
              <w:rPr>
                <w:rStyle w:val="Calibri115pt"/>
                <w:rFonts w:ascii="Times New Roman" w:hAnsi="Times New Roman" w:cs="Times New Roman"/>
                <w:sz w:val="24"/>
                <w:szCs w:val="24"/>
              </w:rPr>
              <w:t xml:space="preserve">Уровень грамотности чтения </w:t>
            </w:r>
            <w:r w:rsidRPr="00D27AD8">
              <w:rPr>
                <w:rStyle w:val="Calibri135pt1pt"/>
                <w:rFonts w:ascii="Times New Roman" w:hAnsi="Times New Roman" w:cs="Times New Roman"/>
                <w:sz w:val="24"/>
                <w:szCs w:val="24"/>
              </w:rPr>
              <w:t>(%</w:t>
            </w:r>
            <w:r w:rsidRPr="00D27AD8">
              <w:rPr>
                <w:rStyle w:val="Calibri115pt"/>
                <w:rFonts w:ascii="Times New Roman" w:hAnsi="Times New Roman" w:cs="Times New Roman"/>
                <w:sz w:val="24"/>
                <w:szCs w:val="24"/>
              </w:rPr>
              <w:t xml:space="preserve"> набранных баллов при решении задачи)</w:t>
            </w:r>
          </w:p>
        </w:tc>
      </w:tr>
      <w:tr w:rsidR="00000CCD" w:rsidRPr="00D27AD8" w:rsidTr="006300DE">
        <w:trPr>
          <w:trHeight w:hRule="exact" w:val="262"/>
          <w:jc w:val="center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CCD" w:rsidRPr="00D27AD8" w:rsidRDefault="00000CCD" w:rsidP="00953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8">
              <w:rPr>
                <w:rStyle w:val="Calibri115pt"/>
                <w:rFonts w:ascii="Times New Roman" w:hAnsi="Times New Roman" w:cs="Times New Roman"/>
                <w:sz w:val="24"/>
                <w:szCs w:val="24"/>
              </w:rPr>
              <w:t>Высокий (100-75%)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CCD" w:rsidRPr="00D27AD8" w:rsidRDefault="00000CCD" w:rsidP="00953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8">
              <w:rPr>
                <w:rStyle w:val="Calibri115pt"/>
                <w:rFonts w:ascii="Times New Roman" w:hAnsi="Times New Roman" w:cs="Times New Roman"/>
                <w:sz w:val="24"/>
                <w:szCs w:val="24"/>
              </w:rPr>
              <w:t xml:space="preserve">Средний (74-50 </w:t>
            </w:r>
            <w:r w:rsidRPr="00D27AD8">
              <w:rPr>
                <w:rStyle w:val="Calibri135pt1pt"/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CCD" w:rsidRPr="00D27AD8" w:rsidRDefault="00000CCD" w:rsidP="00953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8">
              <w:rPr>
                <w:rStyle w:val="Calibri115pt"/>
                <w:rFonts w:ascii="Times New Roman" w:hAnsi="Times New Roman" w:cs="Times New Roman"/>
                <w:sz w:val="24"/>
                <w:szCs w:val="24"/>
              </w:rPr>
              <w:t>Нижний (49 % и менее)</w:t>
            </w:r>
          </w:p>
        </w:tc>
      </w:tr>
      <w:tr w:rsidR="00000CCD" w:rsidRPr="00D27AD8" w:rsidTr="006300DE">
        <w:trPr>
          <w:trHeight w:hRule="exact" w:val="283"/>
          <w:jc w:val="center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CCD" w:rsidRPr="00D27AD8" w:rsidRDefault="00000CCD" w:rsidP="00953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CCD" w:rsidRPr="00D27AD8" w:rsidRDefault="00000CCD" w:rsidP="00953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CCD" w:rsidRPr="00D27AD8" w:rsidRDefault="00000CCD" w:rsidP="00953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Надо отметить, что учащиеся с большим желанием и интересом воспринимают такую форму работы. По их отзывам, при выполнении заданий в форме учебных задач они учатся работать самостоятельно, вдумчиво, чувствуют себя исследователями.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Важно также и то, что работа с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компетентностно-ориентированными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 xml:space="preserve"> задачами и </w:t>
      </w:r>
      <w:r w:rsidR="00E54AE0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>последующая рефлексия на основе их решения способствуют развитию у учеников важнейших логических приемов мышления; анализа, синтеза, обобщения, абстрагирования, конкретизации, сравнения, классификации, что интенсивно влияет в целом на уровень интеллектуального развития личности.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Универсальные умения, формируемые при решении </w:t>
      </w:r>
      <w:proofErr w:type="spellStart"/>
      <w:r w:rsidRPr="00D27AD8">
        <w:rPr>
          <w:rFonts w:ascii="Times New Roman" w:hAnsi="Times New Roman" w:cs="Times New Roman"/>
          <w:sz w:val="24"/>
          <w:szCs w:val="24"/>
        </w:rPr>
        <w:t>компетентностн</w:t>
      </w:r>
      <w:proofErr w:type="gramStart"/>
      <w:r w:rsidRPr="00D27AD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27AD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27AD8">
        <w:rPr>
          <w:rFonts w:ascii="Times New Roman" w:hAnsi="Times New Roman" w:cs="Times New Roman"/>
          <w:sz w:val="24"/>
          <w:szCs w:val="24"/>
        </w:rPr>
        <w:t xml:space="preserve"> ориентированных задач (извлечение из текста сопоставимой информации, её критическая оценка, отбор информации для выдвижения гипотезы, формулирования доказательств, определение</w:t>
      </w:r>
      <w:r w:rsidR="002E7735" w:rsidRPr="00D27AD8">
        <w:rPr>
          <w:rFonts w:ascii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hAnsi="Times New Roman" w:cs="Times New Roman"/>
          <w:sz w:val="24"/>
          <w:szCs w:val="24"/>
        </w:rPr>
        <w:t xml:space="preserve"> позиции автора, реконструкция аргументов, выражение и обоснование собственной позиции), чрезвычайно актуальны для успешной сдачи выпускниками 9 и 11 классов ЕГЭ, особенно части «С». А успешность выпускников лицея в ходе итоговой государственной аттестации - это залог их конкурентоспособности при поступлении в высшее учебное заведение, в достижении ими социально значимых личных целей.</w:t>
      </w:r>
    </w:p>
    <w:p w:rsidR="00000CCD" w:rsidRPr="00D27AD8" w:rsidRDefault="00000CCD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 В заключении хотелось бы сказать, что изучив </w:t>
      </w:r>
      <w:proofErr w:type="spellStart"/>
      <w:r w:rsidRPr="00D27AD8">
        <w:rPr>
          <w:rFonts w:ascii="Times New Roman" w:eastAsia="Times New Roman" w:hAnsi="Times New Roman" w:cs="Times New Roman"/>
          <w:sz w:val="24"/>
          <w:szCs w:val="24"/>
        </w:rPr>
        <w:t>метапредметность</w:t>
      </w:r>
      <w:proofErr w:type="spellEnd"/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как новый подход к современному образованию, имеющий место в Федеральном образовательном стандарте,</w:t>
      </w:r>
      <w:r w:rsidR="00E54AE0" w:rsidRPr="00D27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могу с уверенностью утверждать, что большинство моих коллег и я, в том числе, в своей педагогической практике давно применяют элементы </w:t>
      </w:r>
      <w:proofErr w:type="spellStart"/>
      <w:r w:rsidRPr="00D27AD8">
        <w:rPr>
          <w:rFonts w:ascii="Times New Roman" w:eastAsia="Times New Roman" w:hAnsi="Times New Roman" w:cs="Times New Roman"/>
          <w:sz w:val="24"/>
          <w:szCs w:val="24"/>
        </w:rPr>
        <w:t>метапредметности</w:t>
      </w:r>
      <w:proofErr w:type="spellEnd"/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. Сегодня мы </w:t>
      </w:r>
      <w:r w:rsidR="00E54AE0" w:rsidRPr="00D27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говорим о </w:t>
      </w:r>
      <w:proofErr w:type="spellStart"/>
      <w:r w:rsidRPr="00D27AD8">
        <w:rPr>
          <w:rFonts w:ascii="Times New Roman" w:eastAsia="Times New Roman" w:hAnsi="Times New Roman" w:cs="Times New Roman"/>
          <w:sz w:val="24"/>
          <w:szCs w:val="24"/>
        </w:rPr>
        <w:t>метапредметном</w:t>
      </w:r>
      <w:proofErr w:type="spellEnd"/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подходе и </w:t>
      </w:r>
      <w:proofErr w:type="spellStart"/>
      <w:r w:rsidRPr="00D27AD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результатах в обучении в связи с формированием универсальных учебных действий как собственно психологической составляющей фундаментального ядра образования. Так что, как сказала Нина Громыко (кандидат философских наук, разработчик </w:t>
      </w:r>
      <w:proofErr w:type="spellStart"/>
      <w:r w:rsidRPr="00D27AD8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подхода) «</w:t>
      </w:r>
      <w:proofErr w:type="spellStart"/>
      <w:r w:rsidRPr="00D27AD8">
        <w:rPr>
          <w:rFonts w:ascii="Times New Roman" w:eastAsia="Times New Roman" w:hAnsi="Times New Roman" w:cs="Times New Roman"/>
          <w:sz w:val="24"/>
          <w:szCs w:val="24"/>
        </w:rPr>
        <w:t>Метапредметы</w:t>
      </w:r>
      <w:proofErr w:type="spellEnd"/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– это</w:t>
      </w:r>
      <w:r w:rsidR="0095395A" w:rsidRPr="00D27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AD8">
        <w:rPr>
          <w:rFonts w:ascii="Times New Roman" w:eastAsia="Times New Roman" w:hAnsi="Times New Roman" w:cs="Times New Roman"/>
          <w:sz w:val="24"/>
          <w:szCs w:val="24"/>
        </w:rPr>
        <w:t xml:space="preserve"> не заумь и не страшно. Этому можно достаточно быстро научиться»</w:t>
      </w:r>
    </w:p>
    <w:p w:rsidR="00D1179B" w:rsidRPr="00D27AD8" w:rsidRDefault="00E54AE0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Библиографический список</w:t>
      </w:r>
      <w:r w:rsidR="00D1179B" w:rsidRPr="00D27AD8">
        <w:rPr>
          <w:rFonts w:ascii="Times New Roman" w:hAnsi="Times New Roman" w:cs="Times New Roman"/>
          <w:sz w:val="24"/>
          <w:szCs w:val="24"/>
        </w:rPr>
        <w:t>:</w:t>
      </w:r>
    </w:p>
    <w:p w:rsidR="00D1179B" w:rsidRPr="00D27AD8" w:rsidRDefault="0095395A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1.</w:t>
      </w:r>
      <w:r w:rsidR="00D1179B" w:rsidRPr="00D27AD8">
        <w:rPr>
          <w:rFonts w:ascii="Times New Roman" w:hAnsi="Times New Roman" w:cs="Times New Roman"/>
          <w:sz w:val="24"/>
          <w:szCs w:val="24"/>
        </w:rPr>
        <w:t>Громыко Ю.В. "</w:t>
      </w:r>
      <w:proofErr w:type="spellStart"/>
      <w:r w:rsidR="00D1179B" w:rsidRPr="00D27AD8">
        <w:rPr>
          <w:rFonts w:ascii="Times New Roman" w:hAnsi="Times New Roman" w:cs="Times New Roman"/>
          <w:sz w:val="24"/>
          <w:szCs w:val="24"/>
        </w:rPr>
        <w:t>Метапредмет</w:t>
      </w:r>
      <w:proofErr w:type="spellEnd"/>
      <w:r w:rsidR="00D1179B" w:rsidRPr="00D27AD8">
        <w:rPr>
          <w:rFonts w:ascii="Times New Roman" w:hAnsi="Times New Roman" w:cs="Times New Roman"/>
          <w:sz w:val="24"/>
          <w:szCs w:val="24"/>
        </w:rPr>
        <w:t xml:space="preserve"> "Знак".- М., 2001.</w:t>
      </w:r>
    </w:p>
    <w:p w:rsidR="002E7735" w:rsidRPr="00D27AD8" w:rsidRDefault="0095395A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2.</w:t>
      </w:r>
      <w:r w:rsidR="00D1179B" w:rsidRPr="00D27AD8">
        <w:rPr>
          <w:rFonts w:ascii="Times New Roman" w:hAnsi="Times New Roman" w:cs="Times New Roman"/>
          <w:sz w:val="24"/>
          <w:szCs w:val="24"/>
        </w:rPr>
        <w:t>Громыко Н. В. Обучение схематизации: Сборник сценариев</w:t>
      </w:r>
      <w:r w:rsidR="00A27143" w:rsidRPr="00D27AD8">
        <w:rPr>
          <w:rFonts w:ascii="Times New Roman" w:hAnsi="Times New Roman" w:cs="Times New Roman"/>
          <w:sz w:val="24"/>
          <w:szCs w:val="24"/>
        </w:rPr>
        <w:t xml:space="preserve"> для проведения уроков</w:t>
      </w:r>
    </w:p>
    <w:p w:rsidR="00D1179B" w:rsidRPr="00D27AD8" w:rsidRDefault="00A27143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 xml:space="preserve"> и тренин</w:t>
      </w:r>
      <w:r w:rsidR="00D1179B" w:rsidRPr="00D27AD8">
        <w:rPr>
          <w:rFonts w:ascii="Times New Roman" w:hAnsi="Times New Roman" w:cs="Times New Roman"/>
          <w:sz w:val="24"/>
          <w:szCs w:val="24"/>
        </w:rPr>
        <w:t xml:space="preserve">гов. /Учебно-методическое пособие для учащихся 10-11 классов. </w:t>
      </w:r>
      <w:proofErr w:type="gramStart"/>
      <w:r w:rsidR="00D1179B" w:rsidRPr="00D27AD8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="00D1179B" w:rsidRPr="00D27AD8">
        <w:rPr>
          <w:rFonts w:ascii="Times New Roman" w:hAnsi="Times New Roman" w:cs="Times New Roman"/>
          <w:sz w:val="24"/>
          <w:szCs w:val="24"/>
        </w:rPr>
        <w:t>., 2005</w:t>
      </w:r>
    </w:p>
    <w:p w:rsidR="00D1179B" w:rsidRPr="00D27AD8" w:rsidRDefault="0095395A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3.</w:t>
      </w:r>
      <w:r w:rsidR="00D1179B" w:rsidRPr="00D27AD8">
        <w:rPr>
          <w:rFonts w:ascii="Times New Roman" w:hAnsi="Times New Roman" w:cs="Times New Roman"/>
          <w:sz w:val="24"/>
          <w:szCs w:val="24"/>
        </w:rPr>
        <w:t>Кузнецов А.А. О школьных стандартах второго поколения / А.А. Кузнецов. // Муниципальное образование: инновации и эксперимент. - 2008. - № 2.</w:t>
      </w:r>
    </w:p>
    <w:p w:rsidR="00D1179B" w:rsidRPr="00D27AD8" w:rsidRDefault="0095395A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4.</w:t>
      </w:r>
      <w:r w:rsidR="00D1179B" w:rsidRPr="00D27AD8">
        <w:rPr>
          <w:rFonts w:ascii="Times New Roman" w:hAnsi="Times New Roman" w:cs="Times New Roman"/>
          <w:sz w:val="24"/>
          <w:szCs w:val="24"/>
        </w:rPr>
        <w:t xml:space="preserve">Концепция федеральных государственных образовательных стандартов общего образования: проект / </w:t>
      </w:r>
      <w:proofErr w:type="spellStart"/>
      <w:r w:rsidR="00D1179B" w:rsidRPr="00D27AD8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="00D1179B" w:rsidRPr="00D27AD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D1179B" w:rsidRPr="00D27AD8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D1179B" w:rsidRPr="00D27AD8">
        <w:rPr>
          <w:rFonts w:ascii="Times New Roman" w:hAnsi="Times New Roman" w:cs="Times New Roman"/>
          <w:sz w:val="24"/>
          <w:szCs w:val="24"/>
        </w:rPr>
        <w:t xml:space="preserve">. образования; под ред. А.М. </w:t>
      </w:r>
      <w:proofErr w:type="spellStart"/>
      <w:r w:rsidR="00D1179B" w:rsidRPr="00D27AD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="00D1179B" w:rsidRPr="00D27AD8">
        <w:rPr>
          <w:rFonts w:ascii="Times New Roman" w:hAnsi="Times New Roman" w:cs="Times New Roman"/>
          <w:sz w:val="24"/>
          <w:szCs w:val="24"/>
        </w:rPr>
        <w:t>, А.А. Кузнецова. - М.: Просвещение, 2008.</w:t>
      </w:r>
    </w:p>
    <w:p w:rsidR="00A27143" w:rsidRPr="00D27AD8" w:rsidRDefault="0095395A" w:rsidP="00953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D8">
        <w:rPr>
          <w:rFonts w:ascii="Times New Roman" w:hAnsi="Times New Roman" w:cs="Times New Roman"/>
          <w:sz w:val="24"/>
          <w:szCs w:val="24"/>
        </w:rPr>
        <w:t>5.</w:t>
      </w:r>
      <w:r w:rsidR="00D1179B" w:rsidRPr="00D27AD8">
        <w:rPr>
          <w:rFonts w:ascii="Times New Roman" w:hAnsi="Times New Roman" w:cs="Times New Roman"/>
          <w:sz w:val="24"/>
          <w:szCs w:val="24"/>
        </w:rPr>
        <w:t xml:space="preserve">Федорова  С.Ш.  Развитие  </w:t>
      </w:r>
      <w:proofErr w:type="spellStart"/>
      <w:r w:rsidR="00D1179B" w:rsidRPr="00D27AD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D1179B" w:rsidRPr="00D27AD8">
        <w:rPr>
          <w:rFonts w:ascii="Times New Roman" w:hAnsi="Times New Roman" w:cs="Times New Roman"/>
          <w:sz w:val="24"/>
          <w:szCs w:val="24"/>
        </w:rPr>
        <w:t xml:space="preserve">  компетентности  через  реализацию  программы  «Развитие  исследовательской  деятельности»  для  основной  общеобразовательной  школы  (1–9-е  классы)  </w:t>
      </w:r>
    </w:p>
    <w:p w:rsidR="00CF72B0" w:rsidRPr="00D27AD8" w:rsidRDefault="00CF72B0" w:rsidP="00A2714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F72B0" w:rsidRPr="00D27AD8" w:rsidSect="0095395A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42" w:rsidRDefault="00890342" w:rsidP="00000CCD">
      <w:r>
        <w:separator/>
      </w:r>
    </w:p>
  </w:endnote>
  <w:endnote w:type="continuationSeparator" w:id="0">
    <w:p w:rsidR="00890342" w:rsidRDefault="00890342" w:rsidP="0000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42" w:rsidRDefault="00890342" w:rsidP="00000CCD">
      <w:r>
        <w:separator/>
      </w:r>
    </w:p>
  </w:footnote>
  <w:footnote w:type="continuationSeparator" w:id="0">
    <w:p w:rsidR="00890342" w:rsidRDefault="00890342" w:rsidP="00000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F68F3"/>
    <w:multiLevelType w:val="hybridMultilevel"/>
    <w:tmpl w:val="434E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0348C"/>
    <w:multiLevelType w:val="multilevel"/>
    <w:tmpl w:val="360E239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27334"/>
    <w:multiLevelType w:val="hybridMultilevel"/>
    <w:tmpl w:val="D402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20685"/>
    <w:multiLevelType w:val="multilevel"/>
    <w:tmpl w:val="A40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CCD"/>
    <w:rsid w:val="00000CCD"/>
    <w:rsid w:val="000706F1"/>
    <w:rsid w:val="000C28C8"/>
    <w:rsid w:val="00235D11"/>
    <w:rsid w:val="002E7735"/>
    <w:rsid w:val="0030688A"/>
    <w:rsid w:val="006300DE"/>
    <w:rsid w:val="007D66E2"/>
    <w:rsid w:val="00890342"/>
    <w:rsid w:val="00931483"/>
    <w:rsid w:val="0095395A"/>
    <w:rsid w:val="009B4379"/>
    <w:rsid w:val="00A27143"/>
    <w:rsid w:val="00AB5629"/>
    <w:rsid w:val="00B20BF7"/>
    <w:rsid w:val="00CF72B0"/>
    <w:rsid w:val="00D1179B"/>
    <w:rsid w:val="00D27AD8"/>
    <w:rsid w:val="00E54AE0"/>
    <w:rsid w:val="00F0721D"/>
    <w:rsid w:val="00F41C12"/>
    <w:rsid w:val="00F7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C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CCD"/>
    <w:pPr>
      <w:spacing w:after="0" w:line="240" w:lineRule="auto"/>
    </w:pPr>
  </w:style>
  <w:style w:type="character" w:customStyle="1" w:styleId="a4">
    <w:name w:val="Основной текст_"/>
    <w:basedOn w:val="a0"/>
    <w:link w:val="4"/>
    <w:rsid w:val="00000C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000CCD"/>
    <w:pPr>
      <w:shd w:val="clear" w:color="auto" w:fill="FFFFFF"/>
      <w:spacing w:before="420" w:after="60" w:line="0" w:lineRule="atLeast"/>
      <w:ind w:hanging="142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styleId="a5">
    <w:name w:val="Hyperlink"/>
    <w:basedOn w:val="a0"/>
    <w:rsid w:val="00000CCD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000CCD"/>
    <w:rPr>
      <w:rFonts w:ascii="Verdana" w:eastAsia="Verdana" w:hAnsi="Verdana" w:cs="Verdana"/>
      <w:b/>
      <w:bCs/>
      <w:i/>
      <w:iCs/>
      <w:spacing w:val="-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0CCD"/>
    <w:pPr>
      <w:shd w:val="clear" w:color="auto" w:fill="FFFFFF"/>
      <w:spacing w:before="180" w:line="0" w:lineRule="atLeast"/>
    </w:pPr>
    <w:rPr>
      <w:rFonts w:ascii="Verdana" w:eastAsia="Verdana" w:hAnsi="Verdana" w:cs="Verdana"/>
      <w:b/>
      <w:bCs/>
      <w:i/>
      <w:iCs/>
      <w:color w:val="auto"/>
      <w:spacing w:val="-20"/>
      <w:sz w:val="22"/>
      <w:szCs w:val="22"/>
      <w:lang w:eastAsia="en-US"/>
    </w:rPr>
  </w:style>
  <w:style w:type="character" w:customStyle="1" w:styleId="Calibri115pt">
    <w:name w:val="Основной текст + Calibri;11;5 pt"/>
    <w:basedOn w:val="a4"/>
    <w:rsid w:val="00000CCD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Calibri135pt1pt">
    <w:name w:val="Основной текст + Calibri;13;5 pt;Полужирный;Курсив;Интервал 1 pt"/>
    <w:basedOn w:val="a4"/>
    <w:rsid w:val="00000CCD"/>
    <w:rPr>
      <w:rFonts w:ascii="Calibri" w:eastAsia="Calibri" w:hAnsi="Calibri" w:cs="Calibri"/>
      <w:b/>
      <w:bCs/>
      <w:i/>
      <w:iCs/>
      <w:color w:val="000000"/>
      <w:spacing w:val="20"/>
      <w:w w:val="100"/>
      <w:position w:val="0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00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0CC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00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CC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2019-02-15T05:28:00Z</dcterms:created>
  <dcterms:modified xsi:type="dcterms:W3CDTF">2020-08-10T10:00:00Z</dcterms:modified>
</cp:coreProperties>
</file>