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75" w:rsidRPr="006D6E75" w:rsidRDefault="006D6E75" w:rsidP="005466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6E75">
        <w:rPr>
          <w:sz w:val="28"/>
          <w:szCs w:val="28"/>
        </w:rPr>
        <w:t xml:space="preserve">Образовательная технология (технология в сфере образования) - это совокупность научно и практически обоснованных методов и инструментов для достижения желаемого результата в любой области образования. </w:t>
      </w:r>
      <w:proofErr w:type="gramStart"/>
      <w:r w:rsidRPr="006D6E75">
        <w:rPr>
          <w:sz w:val="28"/>
          <w:szCs w:val="28"/>
        </w:rPr>
        <w:t xml:space="preserve">Понятие "образовательная технология" представляется несколько более широким, чем "педагогическая технология" (для педагогических процессов), ибо образование включает, кроме педагогических, еще разнообразные социальные, </w:t>
      </w:r>
      <w:proofErr w:type="spellStart"/>
      <w:r w:rsidRPr="006D6E75">
        <w:rPr>
          <w:sz w:val="28"/>
          <w:szCs w:val="28"/>
        </w:rPr>
        <w:t>социальнополитические</w:t>
      </w:r>
      <w:proofErr w:type="spellEnd"/>
      <w:r w:rsidRPr="006D6E75">
        <w:rPr>
          <w:sz w:val="28"/>
          <w:szCs w:val="28"/>
        </w:rPr>
        <w:t>, управленческие, культурологические, психолого-педагогические, медико-педагогические, экономические и другие смежные аспекты.</w:t>
      </w:r>
      <w:proofErr w:type="gramEnd"/>
      <w:r w:rsidRPr="006D6E75">
        <w:rPr>
          <w:sz w:val="28"/>
          <w:szCs w:val="28"/>
        </w:rPr>
        <w:t xml:space="preserve"> С другой стороны, понятие "педагогическая технология" относится (что очевидно) ко всем разделам педагогики. • В зарубежной литературе имеются следующие близкие термины: • </w:t>
      </w:r>
      <w:proofErr w:type="spellStart"/>
      <w:r w:rsidRPr="006D6E75">
        <w:rPr>
          <w:sz w:val="28"/>
          <w:szCs w:val="28"/>
        </w:rPr>
        <w:t>technology</w:t>
      </w:r>
      <w:proofErr w:type="spellEnd"/>
      <w:r w:rsidRPr="006D6E75">
        <w:rPr>
          <w:sz w:val="28"/>
          <w:szCs w:val="28"/>
        </w:rPr>
        <w:t xml:space="preserve"> </w:t>
      </w:r>
      <w:proofErr w:type="spellStart"/>
      <w:r w:rsidRPr="006D6E75">
        <w:rPr>
          <w:sz w:val="28"/>
          <w:szCs w:val="28"/>
        </w:rPr>
        <w:t>in</w:t>
      </w:r>
      <w:proofErr w:type="spellEnd"/>
      <w:r w:rsidRPr="006D6E75">
        <w:rPr>
          <w:sz w:val="28"/>
          <w:szCs w:val="28"/>
        </w:rPr>
        <w:t xml:space="preserve"> </w:t>
      </w:r>
      <w:proofErr w:type="spellStart"/>
      <w:r w:rsidRPr="006D6E75">
        <w:rPr>
          <w:sz w:val="28"/>
          <w:szCs w:val="28"/>
        </w:rPr>
        <w:t>education</w:t>
      </w:r>
      <w:proofErr w:type="spellEnd"/>
      <w:r w:rsidRPr="006D6E75">
        <w:rPr>
          <w:sz w:val="28"/>
          <w:szCs w:val="28"/>
        </w:rPr>
        <w:t xml:space="preserve"> - технологии в образовании, • </w:t>
      </w:r>
      <w:proofErr w:type="spellStart"/>
      <w:r w:rsidRPr="006D6E75">
        <w:rPr>
          <w:sz w:val="28"/>
          <w:szCs w:val="28"/>
        </w:rPr>
        <w:t>technology</w:t>
      </w:r>
      <w:proofErr w:type="spellEnd"/>
      <w:r w:rsidRPr="006D6E75">
        <w:rPr>
          <w:sz w:val="28"/>
          <w:szCs w:val="28"/>
        </w:rPr>
        <w:t xml:space="preserve"> </w:t>
      </w:r>
      <w:proofErr w:type="spellStart"/>
      <w:r w:rsidRPr="006D6E75">
        <w:rPr>
          <w:sz w:val="28"/>
          <w:szCs w:val="28"/>
        </w:rPr>
        <w:t>of</w:t>
      </w:r>
      <w:proofErr w:type="spellEnd"/>
      <w:r w:rsidRPr="006D6E75">
        <w:rPr>
          <w:sz w:val="28"/>
          <w:szCs w:val="28"/>
        </w:rPr>
        <w:t xml:space="preserve"> </w:t>
      </w:r>
      <w:proofErr w:type="spellStart"/>
      <w:r w:rsidRPr="006D6E75">
        <w:rPr>
          <w:sz w:val="28"/>
          <w:szCs w:val="28"/>
        </w:rPr>
        <w:t>education</w:t>
      </w:r>
      <w:proofErr w:type="spellEnd"/>
      <w:r w:rsidRPr="006D6E75">
        <w:rPr>
          <w:sz w:val="28"/>
          <w:szCs w:val="28"/>
        </w:rPr>
        <w:t xml:space="preserve"> - технологии образования, • </w:t>
      </w:r>
      <w:proofErr w:type="spellStart"/>
      <w:r w:rsidRPr="006D6E75">
        <w:rPr>
          <w:sz w:val="28"/>
          <w:szCs w:val="28"/>
        </w:rPr>
        <w:t>educational</w:t>
      </w:r>
      <w:proofErr w:type="spellEnd"/>
      <w:r w:rsidRPr="006D6E75">
        <w:rPr>
          <w:sz w:val="28"/>
          <w:szCs w:val="28"/>
        </w:rPr>
        <w:t xml:space="preserve"> </w:t>
      </w:r>
      <w:proofErr w:type="spellStart"/>
      <w:r w:rsidRPr="006D6E75">
        <w:rPr>
          <w:sz w:val="28"/>
          <w:szCs w:val="28"/>
        </w:rPr>
        <w:t>technology</w:t>
      </w:r>
      <w:proofErr w:type="spellEnd"/>
      <w:r w:rsidRPr="006D6E75">
        <w:rPr>
          <w:sz w:val="28"/>
          <w:szCs w:val="28"/>
        </w:rPr>
        <w:t xml:space="preserve"> - педагогические технологии. • Применение технологического подхода и термина "технология" к социальным процессам, к области духовного производства - образованию, культуре, - это относительно новое более сложное явление для социальной действительности.</w:t>
      </w:r>
    </w:p>
    <w:p w:rsidR="005466C0" w:rsidRPr="006D6E75" w:rsidRDefault="005466C0" w:rsidP="005466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D6E75">
        <w:rPr>
          <w:color w:val="000000"/>
        </w:rPr>
        <w:t xml:space="preserve">Особенность федеральных государственных образовательных стандартов общего образования - их </w:t>
      </w:r>
      <w:proofErr w:type="spellStart"/>
      <w:r w:rsidRPr="006D6E75">
        <w:rPr>
          <w:color w:val="000000"/>
        </w:rPr>
        <w:t>деятельностный</w:t>
      </w:r>
      <w:proofErr w:type="spellEnd"/>
      <w:r w:rsidRPr="006D6E75">
        <w:rPr>
          <w:color w:val="000000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 </w:t>
      </w:r>
      <w:hyperlink r:id="rId5" w:tooltip="Виды деятельности" w:history="1">
        <w:r w:rsidRPr="006D6E75">
          <w:rPr>
            <w:rStyle w:val="a4"/>
            <w:color w:val="0066CC"/>
            <w:u w:val="none"/>
            <w:bdr w:val="none" w:sz="0" w:space="0" w:color="auto" w:frame="1"/>
          </w:rPr>
          <w:t>виды деятельности</w:t>
        </w:r>
      </w:hyperlink>
      <w:r w:rsidRPr="006D6E75">
        <w:rPr>
          <w:color w:val="000000"/>
        </w:rPr>
        <w:t>.</w:t>
      </w:r>
    </w:p>
    <w:p w:rsidR="005466C0" w:rsidRPr="006D6E75" w:rsidRDefault="005466C0" w:rsidP="005466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D6E75">
        <w:rPr>
          <w:color w:val="000000"/>
        </w:rPr>
        <w:t>Поставленная задача требует перехода к новой системно-</w:t>
      </w:r>
      <w:proofErr w:type="spellStart"/>
      <w:r w:rsidRPr="006D6E75">
        <w:rPr>
          <w:color w:val="000000"/>
        </w:rPr>
        <w:t>деятельностной</w:t>
      </w:r>
      <w:proofErr w:type="spellEnd"/>
      <w:r w:rsidRPr="006D6E75">
        <w:rPr>
          <w:color w:val="000000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технологии обучения, внедрение </w:t>
      </w:r>
      <w:hyperlink r:id="rId6" w:tooltip="Информационные технологии" w:history="1">
        <w:r w:rsidRPr="006D6E75">
          <w:rPr>
            <w:rStyle w:val="a4"/>
            <w:color w:val="0066CC"/>
            <w:u w:val="none"/>
            <w:bdr w:val="none" w:sz="0" w:space="0" w:color="auto" w:frame="1"/>
          </w:rPr>
          <w:t>информационно-коммуникационных технологий</w:t>
        </w:r>
      </w:hyperlink>
      <w:r w:rsidRPr="006D6E75">
        <w:rPr>
          <w:color w:val="000000"/>
        </w:rPr>
        <w:t> (ИКТ) открывает значительные возможности расширения образовательных рамок по каждому предмету в общеобразовательном учреждении.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В этих условиях традиционная школа, реализующая классическую модель образования, стала непродуктивной. Перед учителями возникла проблема – превратить традиционное обучение, направленное на накопление знаний, умений, навыков, в процесс развития личности ребенка.</w:t>
      </w:r>
    </w:p>
    <w:p w:rsidR="005466C0" w:rsidRPr="006D6E75" w:rsidRDefault="005466C0" w:rsidP="005466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D6E75">
        <w:rPr>
          <w:color w:val="000000"/>
        </w:rPr>
        <w:t>Уход от традиционного урока через использование в процессе обучения </w:t>
      </w:r>
      <w:hyperlink r:id="rId7" w:tooltip="Новые технологии" w:history="1">
        <w:r w:rsidRPr="006D6E75">
          <w:rPr>
            <w:rStyle w:val="a4"/>
            <w:color w:val="0066CC"/>
            <w:u w:val="none"/>
            <w:bdr w:val="none" w:sz="0" w:space="0" w:color="auto" w:frame="1"/>
          </w:rPr>
          <w:t>новых технологий</w:t>
        </w:r>
      </w:hyperlink>
      <w:r w:rsidRPr="006D6E75">
        <w:rPr>
          <w:color w:val="000000"/>
        </w:rPr>
        <w:t xml:space="preserve"> 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6D6E75">
        <w:rPr>
          <w:color w:val="000000"/>
        </w:rPr>
        <w:t>здоровьесбережения</w:t>
      </w:r>
      <w:proofErr w:type="spellEnd"/>
      <w:r w:rsidRPr="006D6E75">
        <w:rPr>
          <w:color w:val="000000"/>
        </w:rPr>
        <w:t>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В условиях реализации требований ФГОС актуальными становятся технологии: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1. Информационно – коммуникационная технология.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2. Проектная технология.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lastRenderedPageBreak/>
        <w:t xml:space="preserve">3. </w:t>
      </w:r>
      <w:proofErr w:type="spellStart"/>
      <w:r w:rsidRPr="006D6E75">
        <w:rPr>
          <w:color w:val="000000"/>
        </w:rPr>
        <w:t>Здоровьесберегающие</w:t>
      </w:r>
      <w:proofErr w:type="spellEnd"/>
      <w:r w:rsidRPr="006D6E75">
        <w:rPr>
          <w:color w:val="000000"/>
        </w:rPr>
        <w:t xml:space="preserve"> технологии.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4. Технология развивающего обучения.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5. Технология развития критического мышления.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6. Кейс – технология.</w:t>
      </w:r>
    </w:p>
    <w:p w:rsidR="005466C0" w:rsidRPr="006D6E75" w:rsidRDefault="005466C0" w:rsidP="005466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D6E75">
        <w:rPr>
          <w:color w:val="000000"/>
        </w:rPr>
        <w:t>7. Технологии уровневой </w:t>
      </w:r>
      <w:hyperlink r:id="rId8" w:tooltip="Дифференция" w:history="1">
        <w:r w:rsidRPr="006D6E75">
          <w:rPr>
            <w:rStyle w:val="a4"/>
            <w:color w:val="0066CC"/>
            <w:u w:val="none"/>
            <w:bdr w:val="none" w:sz="0" w:space="0" w:color="auto" w:frame="1"/>
          </w:rPr>
          <w:t>дифференциации</w:t>
        </w:r>
      </w:hyperlink>
      <w:r w:rsidRPr="006D6E75">
        <w:rPr>
          <w:color w:val="000000"/>
        </w:rPr>
        <w:t>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8. Педагогика сотрудничества.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9. Групповые технологии.</w:t>
      </w:r>
    </w:p>
    <w:p w:rsidR="005466C0" w:rsidRPr="006D6E75" w:rsidRDefault="005466C0" w:rsidP="005466C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6D6E75">
        <w:rPr>
          <w:color w:val="000000"/>
        </w:rPr>
        <w:t>10. Игровые технологии.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Технология проблемного обучения.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Модульная технология.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Традиционные технологии (классно-урочная система).</w:t>
      </w:r>
    </w:p>
    <w:bookmarkEnd w:id="0"/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Технология мастерских.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Подробнее я остановлюсь на технологии развития критического мышления:</w:t>
      </w:r>
    </w:p>
    <w:p w:rsidR="005466C0" w:rsidRPr="005466C0" w:rsidRDefault="005466C0" w:rsidP="005466C0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российском образовании с 1997г. Авторы - американские учёные Ч. Темпл,  К. </w:t>
      </w: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Мередит</w:t>
      </w:r>
      <w:proofErr w:type="spell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Стилл</w:t>
      </w:r>
      <w:proofErr w:type="spell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Петербургские учёные адаптировали основные идеи: «Технология развития критического мышления на уроках истории и краеведения», 2001г. «Развитие критического мышления на уроке»,2004г.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приемы</w:t>
      </w: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развития критического мышления: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Прием «Кластер»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Таблица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мозговой штурм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Интеллектуальная разминка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Зигзаг, зигзаг -2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Прием «</w:t>
      </w: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Инсерт</w:t>
      </w:r>
      <w:proofErr w:type="spell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Эссе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Приём «Корзина идей»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Приём «Составление </w:t>
      </w: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синквейнов</w:t>
      </w:r>
      <w:proofErr w:type="spell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Метод контрольных вопросов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Приём «Знаю../Хочу узнать</w:t>
      </w:r>
      <w:proofErr w:type="gram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…/У</w:t>
      </w:r>
      <w:proofErr w:type="gram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знал…»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Круги по воде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Ролевой проект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Да - нет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Приём «Чтение с остановками»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Приём « </w:t>
      </w: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Взаимоопрос</w:t>
      </w:r>
      <w:proofErr w:type="spell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Приём «Перепутанные логические цепочки»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Приём « Перекрёстная дискуссия»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понимается под критическим мышлением? Критическое мышление – тот тип мышления, который </w:t>
      </w:r>
      <w:proofErr w:type="gram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критически относится</w:t>
      </w:r>
      <w:proofErr w:type="gram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 Это скорее Имя, чем понятие, но именно под этим именем с рядом международных проектов в нашу жизнь пришли те технологические приемы, которые мы будем приводить ниже.</w:t>
      </w: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Конструктивную основу «технологии критического мышления» составляет базовая модель трех стадий организации учебного процесса: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 этапе вызова из памяти «вызываются», актуализируются имеющиеся знания и представления об изучаемом, формируется личный интерес, определяются цели рассмотрения той или иной темы.</w:t>
      </w:r>
      <w:proofErr w:type="gramEnd"/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На стадии осмысления (или реализации смысла), как правило, обучающийся вступает в контакт с новой информацией.</w:t>
      </w:r>
      <w:proofErr w:type="gram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Этап размышления (рефлексии) 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в рамках этой модели школьники, овладевают различными способами интегрирования информации, учиться вырабатывать собственное мнение на основе осмысления различного опыта, идей и представлений, строят умозаключения и логические цепи доказательств, выражают свои мысли ясно, уверенно и корректно по отношению к окружающим.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трех фаз технологии развития критического мышления</w:t>
      </w:r>
    </w:p>
    <w:tbl>
      <w:tblPr>
        <w:tblW w:w="94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2374"/>
        <w:gridCol w:w="2529"/>
      </w:tblGrid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</w:t>
            </w:r>
          </w:p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</w:t>
            </w:r>
          </w:p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</w:t>
            </w:r>
          </w:p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</w:t>
            </w:r>
            <w:proofErr w:type="gramStart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Верные-неверные</w:t>
            </w:r>
            <w:proofErr w:type="gramEnd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утверждения»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</w:p>
        </w:tc>
      </w:tr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«Верите ли Вы?»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«Бортовые журналы»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«Общее – уникальное»</w:t>
            </w:r>
          </w:p>
        </w:tc>
      </w:tr>
    </w:tbl>
    <w:p w:rsidR="005466C0" w:rsidRPr="005466C0" w:rsidRDefault="005466C0" w:rsidP="0054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425"/>
        <w:gridCol w:w="4065"/>
      </w:tblGrid>
      <w:tr w:rsidR="005466C0" w:rsidRPr="005466C0" w:rsidTr="005466C0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Вызов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Мотивационная (побуждение к работе с новой информацией, пробуждение интереса к теме)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Информационная (вызов «на поверхность» </w:t>
            </w:r>
            <w:proofErr w:type="gramStart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знании по теме)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Коммуникационная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(бесконфликтный обмен мнениями)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Осмысление содержания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</w:t>
            </w:r>
            <w:proofErr w:type="gramStart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новой информации по теме)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Систематизационная</w:t>
            </w:r>
            <w:proofErr w:type="spellEnd"/>
          </w:p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(классификация полученной информации по категориям знания)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Рефлексия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Коммуникационная (обмен мнениями о новой информации)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</w:t>
            </w:r>
            <w:proofErr w:type="gramStart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 знания)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Мотивационная(побуждение к дальнейшему расширению информационного поля)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Оценочная (соотнесение новой информации и имеющихся знаний, выработка собственной позиции,</w:t>
            </w: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процесса)</w:t>
            </w:r>
          </w:p>
        </w:tc>
      </w:tr>
    </w:tbl>
    <w:p w:rsidR="005466C0" w:rsidRPr="005466C0" w:rsidRDefault="005466C0" w:rsidP="0054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«Верные – неверные утверждения»</w:t>
      </w:r>
    </w:p>
    <w:tbl>
      <w:tblPr>
        <w:tblW w:w="1006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3"/>
        <w:gridCol w:w="520"/>
        <w:gridCol w:w="962"/>
      </w:tblGrid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</w:p>
        </w:tc>
      </w:tr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Вооружение и снаряжение рыцаря стоили очень дорого…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Рыцарь получал одностороннее  и довольно грубое воспитание.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6C0" w:rsidRPr="005466C0" w:rsidTr="005466C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466C0" w:rsidRPr="005466C0" w:rsidRDefault="005466C0" w:rsidP="005466C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Крестьянин не имел права покинуть дом своего господина…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466C0" w:rsidRPr="005466C0" w:rsidRDefault="005466C0" w:rsidP="0054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Игра «Верите ли Вы?»</w:t>
      </w:r>
    </w:p>
    <w:p w:rsidR="005466C0" w:rsidRPr="005466C0" w:rsidRDefault="005466C0" w:rsidP="005466C0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1.Верите ли вы, спартанцы отлично изготовляли оружие, были отличными кузнецами. 2.Верите ли вы, что питались спартанцы очень скудно. 3.Верите ли вы, что торговля </w:t>
      </w:r>
      <w:proofErr w:type="gram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 делом спартанцев. 4.Верите ли вы, что среди спартанцев было огромное количество образованных людей, певцов и поэтов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«</w:t>
      </w: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Инсерт</w:t>
      </w:r>
      <w:proofErr w:type="spell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466C0" w:rsidRPr="005466C0" w:rsidRDefault="005466C0" w:rsidP="005466C0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«V» – уже знал «+» – новое «</w:t>
      </w:r>
      <w:proofErr w:type="gram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думал иначе «?» – не понял, есть вопросы  РАБОТА С ТЕКСТОМ (при помощи двух первых значков; при помощи всех значков)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</w:p>
    <w:p w:rsidR="005466C0" w:rsidRPr="005466C0" w:rsidRDefault="005466C0" w:rsidP="005466C0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1-я строка </w:t>
      </w:r>
      <w:proofErr w:type="gramStart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азвание, тема 2-я строка – описание темы (два прилагательных) 3-я строка – действие (три глагола) 4-я строка – чувство (фраза из четырех слов, выражающая отношение автора к теме) 5-я строка – повторение сути, синоним 1-ой строки (обычно существительное)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Огромная, сильная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Создает, трудится, развивается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достойна счастья</w:t>
      </w:r>
    </w:p>
    <w:p w:rsidR="005466C0" w:rsidRPr="005466C0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Надежда</w:t>
      </w:r>
    </w:p>
    <w:p w:rsidR="005466C0" w:rsidRPr="006D6E75" w:rsidRDefault="005466C0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 – это большая находка для педагогов, ведущих обучение учащихся по ФГОС.</w:t>
      </w:r>
    </w:p>
    <w:p w:rsidR="006D6E75" w:rsidRPr="005466C0" w:rsidRDefault="006D6E75" w:rsidP="005466C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gramStart"/>
      <w:r w:rsidRPr="006D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D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</w:t>
      </w:r>
      <w:proofErr w:type="spellEnd"/>
      <w:r w:rsidRPr="006D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6E75" w:rsidRPr="006D6E75" w:rsidRDefault="006D6E75">
      <w:pPr>
        <w:rPr>
          <w:rFonts w:ascii="Times New Roman" w:hAnsi="Times New Roman" w:cs="Times New Roman"/>
          <w:sz w:val="24"/>
          <w:szCs w:val="24"/>
        </w:rPr>
      </w:pPr>
      <w:r w:rsidRPr="006D6E75">
        <w:rPr>
          <w:rFonts w:ascii="Times New Roman" w:hAnsi="Times New Roman" w:cs="Times New Roman"/>
          <w:sz w:val="24"/>
          <w:szCs w:val="24"/>
        </w:rPr>
        <w:t xml:space="preserve">Примеры современных педагогических технологий по Г.К.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: Педагогические технологии на основе личностной ориентации педагогического процесса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Педагогика сотрудничества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Гуманно-личностная технология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Ш.А.Амонашвили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7B" w:rsidRPr="006D6E75" w:rsidRDefault="006D6E75">
      <w:pPr>
        <w:rPr>
          <w:rFonts w:ascii="Times New Roman" w:hAnsi="Times New Roman" w:cs="Times New Roman"/>
          <w:sz w:val="24"/>
          <w:szCs w:val="24"/>
        </w:rPr>
      </w:pPr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E7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Е.Н.Ильина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: преподавание литературы как предмета, формирующего человека Педагогические технологии на основе активизации и интенсификации деятельности учащихся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Игровые технологии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Проблемное обучение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коммуникативного обучения иноязычной культуре (Е.И. Пассов)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интенсификации обучения на основе схемных и знаковых моделей учебного материала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В.Ф.Шаталов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Педагогические технологии на основе эффективности управления и организации учебного процесса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С.НЛысенковой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>: перспективно-опережающее обучение</w:t>
      </w:r>
      <w:proofErr w:type="gramEnd"/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E75">
        <w:rPr>
          <w:rFonts w:ascii="Times New Roman" w:hAnsi="Times New Roman" w:cs="Times New Roman"/>
          <w:sz w:val="24"/>
          <w:szCs w:val="24"/>
        </w:rPr>
        <w:t xml:space="preserve">с использованием опорных схем при комментируемом управлении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Технологии уровневой дифференциации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Уровневая дифференциация обучения на основе обязательных результатов (В.В. Фирсов)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индивидуализации обучения (Инге Унт, А.С.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Границкая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В.Д.Шадриков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программированного обучения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Коллективный способ обучения КСО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А.Г.Ривин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Компьютерные (новые информационные) технологии обучения Педагогические технологии на основе дидактического усовершенствования и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«Экология и</w:t>
      </w:r>
      <w:proofErr w:type="gramEnd"/>
      <w:r w:rsidRPr="006D6E75">
        <w:rPr>
          <w:rFonts w:ascii="Times New Roman" w:hAnsi="Times New Roman" w:cs="Times New Roman"/>
          <w:sz w:val="24"/>
          <w:szCs w:val="24"/>
        </w:rPr>
        <w:t xml:space="preserve"> диалектика»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Л.В.Тарасов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«Диалог культур»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В.С.Библер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С.Ю.Курганов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Укрупнение дидактических единиц - УДЕ (П.М. Эрдниев)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Реализация теории поэтапного формирования умственных действий (М.Б. Волович)</w:t>
      </w:r>
    </w:p>
    <w:p w:rsidR="006D6E75" w:rsidRPr="006D6E75" w:rsidRDefault="006D6E7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6E75">
        <w:rPr>
          <w:rFonts w:ascii="Times New Roman" w:hAnsi="Times New Roman" w:cs="Times New Roman"/>
          <w:sz w:val="24"/>
          <w:szCs w:val="24"/>
        </w:rPr>
        <w:lastRenderedPageBreak/>
        <w:t>Частнопредметные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педагогические технологии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раннего и интенсивного обучения грамоте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Н.А.Зайцев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совершенствования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умений в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начальнойшколе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(В.Н. Зайцев)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обучения математике на основе решения задач (Р.Г.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Хазанкин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Педагогическая технология на основе системы эффективных уроков (А.А. Окунев)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Система поэтапного обучения физике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Н.Н.Палтышев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Альтернативные технологии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Вальдорфская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педагогика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Р.Штейнер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свободного труда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С.Френе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</w:t>
      </w:r>
      <w:proofErr w:type="gramEnd"/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E75">
        <w:rPr>
          <w:rFonts w:ascii="Times New Roman" w:hAnsi="Times New Roman" w:cs="Times New Roman"/>
          <w:sz w:val="24"/>
          <w:szCs w:val="24"/>
        </w:rPr>
        <w:t>вероятностного образования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А.М.Лобок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мастерских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Природосообразные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Природосообразное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воспитание грамотности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А.М.Кушнир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саморазвития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Технологии развивающего обучения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Общие основы технологий развивающего обучения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Система развивающего обучения Л.В.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развивающего обучения Д.Б.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- В.В. Давыдова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Системы развивающего обучения с направленностью на развитие творческих качеств личности (И.П. Волков, ГС.</w:t>
      </w:r>
      <w:proofErr w:type="gramEnd"/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6E75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, И.П. Иванов)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Личностно ориентированное развивающее обучение (И. С.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обучения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Педагогические технологии авторских школ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Модель «Русская школа»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Технология авторской Школы самоопределения (А.Н.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Тубельский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Школа-парк (М.А. Балабан)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Агрошкола А.А. 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Католикова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 xml:space="preserve"> </w:t>
      </w:r>
      <w:r w:rsidRPr="006D6E75">
        <w:rPr>
          <w:rFonts w:ascii="Times New Roman" w:hAnsi="Times New Roman" w:cs="Times New Roman"/>
          <w:sz w:val="24"/>
          <w:szCs w:val="24"/>
        </w:rPr>
        <w:sym w:font="Symbol" w:char="F06E"/>
      </w:r>
      <w:r w:rsidRPr="006D6E75">
        <w:rPr>
          <w:rFonts w:ascii="Times New Roman" w:hAnsi="Times New Roman" w:cs="Times New Roman"/>
          <w:sz w:val="24"/>
          <w:szCs w:val="24"/>
        </w:rPr>
        <w:t xml:space="preserve"> Школа Завтрашнего Дня (</w:t>
      </w:r>
      <w:proofErr w:type="spellStart"/>
      <w:r w:rsidRPr="006D6E75">
        <w:rPr>
          <w:rFonts w:ascii="Times New Roman" w:hAnsi="Times New Roman" w:cs="Times New Roman"/>
          <w:sz w:val="24"/>
          <w:szCs w:val="24"/>
        </w:rPr>
        <w:t>Д.Ховард</w:t>
      </w:r>
      <w:proofErr w:type="spellEnd"/>
      <w:r w:rsidRPr="006D6E7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6D6E75" w:rsidRPr="006D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43"/>
    <w:rsid w:val="000A6F7B"/>
    <w:rsid w:val="00361B43"/>
    <w:rsid w:val="005466C0"/>
    <w:rsid w:val="006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novie_tehnolog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tehnologii/" TargetMode="External"/><Relationship Id="rId5" Type="http://schemas.openxmlformats.org/officeDocument/2006/relationships/hyperlink" Target="http://www.pandia.ru/text/category/vidi_deyatelmzn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Светлана Ивановна</dc:creator>
  <cp:keywords/>
  <dc:description/>
  <cp:lastModifiedBy>Левина Светлана Ивановна</cp:lastModifiedBy>
  <cp:revision>2</cp:revision>
  <dcterms:created xsi:type="dcterms:W3CDTF">2021-03-05T14:40:00Z</dcterms:created>
  <dcterms:modified xsi:type="dcterms:W3CDTF">2021-03-05T14:59:00Z</dcterms:modified>
</cp:coreProperties>
</file>